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6D" w:rsidRDefault="00034B6D">
      <w:pPr>
        <w:widowControl/>
        <w:spacing w:line="324" w:lineRule="atLeast"/>
        <w:rPr>
          <w:rFonts w:ascii="Times New Roman" w:eastAsia="方正黑体_GBK" w:cs="Times New Roman"/>
          <w:color w:val="000000"/>
          <w:kern w:val="0"/>
          <w:sz w:val="28"/>
          <w:szCs w:val="28"/>
        </w:rPr>
      </w:pPr>
    </w:p>
    <w:p w:rsidR="00034B6D" w:rsidRDefault="005C7D2C" w:rsidP="005C7D2C">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Conditions d'enregistrement et points clés pour la comparaison et l'inspection des entreprises de production étrangères de légumes déshydratés importés</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034B6D" w:rsidRDefault="00034B6D">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Conformément au "Règlement de la République populaire de Chine sur l'enregistrement et la gestion des entreprises de production à l'étranger de produits alimentaires importés" (Ordonnance générale des douanes n° 248), les entreprises de conservation à l'étranger de légumes frais et de légumes déshydratés et de haricots secs qui la demande d'enregistrement en Chine doit être conforme aux lois et réglementations chinoises ainsi qu'aux dispositions pertinentes des normes et spécifications, ainsi qu'aux exigences du Protocole d'inspection et de quarantaine pour les légumes conservés et déshydratés et les haricots secs exportés vers la Chine. Ce formulaire est destiné aux autorités compétentes étrangèr</w:t>
      </w:r>
      <w:bookmarkStart w:id="0" w:name="_GoBack"/>
      <w:bookmarkEnd w:id="0"/>
      <w:r>
        <w:rPr>
          <w:rFonts w:ascii="Times New Roman" w:eastAsia="方正仿宋_GBK" w:cs="Times New Roman"/>
          <w:color w:val="000000"/>
          <w:kern w:val="0"/>
          <w:sz w:val="24"/>
          <w:szCs w:val="24"/>
        </w:rPr>
        <w:t xml:space="preserve">es en charge des légumes en conserve et déshydratés et des haricots secs pour effectuer des inspections officielles des entreprises de </w:t>
      </w:r>
      <w:r>
        <w:rPr>
          <w:rFonts w:ascii="Times New Roman" w:eastAsia="方正仿宋_GBK" w:cs="Times New Roman"/>
          <w:color w:val="000000"/>
          <w:kern w:val="0"/>
          <w:sz w:val="24"/>
          <w:szCs w:val="24"/>
        </w:rPr>
        <w:lastRenderedPageBreak/>
        <w:t>production de légumes en conserve et déshydratés et des haricots secs sur la base des principales conditions et bases énumérées et des points clés d'examen en même temps ; temps, les producteurs étrangers de légumes en conserve et déshydratés et de haricots secs. Les entreprises peuvent remplir et soumettre des pièces justificatives sur la base des principales conditions et bases énumérées, et peuvent également procéder à un auto-examen sur la base des points d'examen pour l'auto-évaluation avant que l'entreprise ne demande inscription.</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autorités compétentes étrangères et les entreprises étrangères de conservation de légumes frais et de production de légumes déshydratés et de haricots secs doivent déterminer honnêtement la conformité sur la base de la situation réelle de l'inspection comparative.</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Les légumes conservés et déshydratés font référence aux légumes frais ou à divers produits végétaux transformés par des procédés de séchage tels que la conservation, la déshydratation et le séchage, y compris les légumes-feuilles, les légumes-tiges, le chou-fleur, les fruits solanacés, les légumes-melons et les légumes-haricots. et champignons comestibles, etc. Les haricots secs font référence aux graines d'autres légumineuses, à l'exception du soja, après séchage.</w:t>
      </w:r>
    </w:p>
    <w:p w:rsidR="00034B6D" w:rsidRDefault="00034B6D">
      <w:pPr>
        <w:widowControl/>
        <w:spacing w:line="324" w:lineRule="atLeast"/>
        <w:jc w:val="center"/>
        <w:rPr>
          <w:rFonts w:ascii="Times New Roman" w:eastAsia="方正黑体_GBK" w:cs="Times New Roman"/>
          <w:color w:val="000000"/>
          <w:kern w:val="0"/>
          <w:sz w:val="44"/>
          <w:szCs w:val="44"/>
        </w:rPr>
      </w:pP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96"/>
        <w:gridCol w:w="2950"/>
        <w:gridCol w:w="3494"/>
        <w:gridCol w:w="3167"/>
        <w:gridCol w:w="1417"/>
        <w:gridCol w:w="1300"/>
      </w:tblGrid>
      <w:tr w:rsidR="00034B6D">
        <w:trPr>
          <w:trHeight w:val="39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Conditions et base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Remplir les exigences et les documents justificatifs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Points de révision</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Détermination de la conformité</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Remarque</w:t>
            </w:r>
          </w:p>
        </w:tc>
      </w:tr>
      <w:tr w:rsidR="00034B6D">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Situation de base de l'entreprise</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Situation de base de l'entreprise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Protocole d'inspection et de quarantaine pour les légumes et haricots secs conservés et déshydratés exportés vers la Chine, signé entre l'autorité compétente du pays demandeur et l'Administration générale des douanes.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Remplissez 1. Formulaire d'informations de base pour les entreprises de production étrangères de légumes frais et déshydratés et de haricots secs importés. </w:t>
            </w:r>
            <w:r>
              <w:rPr>
                <w:rFonts w:ascii="Times New Roman" w:eastAsia="方正仿宋_GBK" w:cs="Times New Roman"/>
                <w:kern w:val="0"/>
                <w:sz w:val="24"/>
                <w:szCs w:val="24"/>
              </w:rPr>
              <w:t>1.1.2 Fournir des informations sur la production et l'exploitation des 2 années précédentes à compter de la date de l'examen (si l'entreprise a été créée il y a moins de 2 ans, fournir des informations depuis la création de l'entreprise), y compris la capacité de production, la production annuelle réelle (statistiques par variété). ), volume des exportations (le cas échéant) Variété et statistiques nationales), etc.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remplir les informations de manière véridique et les informations de base doivent être cohérentes avec les informations soumises par les autorités compétentes du pays exportateur et avec les conditions réelles de production et de transformation.</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légumes et haricots secs en conserve et déshydratés destinés à être exportés vers la Chine doivent être conformes à la portée du produit stipulé dans les accords, protocoles, mémorandums, etc. pertinents sur l'inspection et la quarantaine des légumes et haricots secs en conserve et déshydratés exportés vers la Chine.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Système de gestion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Protocole d'inspection et de quarantaine pour les légumes et haricots secs conservés et déshydratés exportés vers la Chine, signé entre l'autorité compétente du pays demandeur et l'Administration générale des douanes.</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 Fournir les documents du système de gestion pour la prévention et le contrôle de la quarantaine végétale, la gestion de la sécurité alimentaire, la gestion du personnel, l'utilisation de produits chimiques, l'acceptation des matières premières, la gestion de l'entreposage, l'inspection des exportations de produits finis, le rappel de produits non qualifiés, la gestion de la traçabilité, etc.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Les entreprises doivent établir des documents de système de gestion couvrant, sans toutefois s'y limiter, la prévention et le contrôle phytosanitaires, la gestion de la sécurité alimentaire, la gestion du personnel, l'utilisation de produits chimiques, l'acceptation des matières premières, la gestion de l'entreposage, l'inspection des exportations de produits finis, le rappel de produits non qualifiés, la gestion de la traçabilité, etc., et les mettre en œuvre efficacement.</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rPr>
                <w:rFonts w:ascii="Times New Roman" w:eastAsia="方正仿宋_GBK" w:cs="Times New Roman"/>
                <w:color w:val="000000"/>
                <w:kern w:val="0"/>
                <w:sz w:val="20"/>
                <w:szCs w:val="20"/>
              </w:rPr>
            </w:pP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 Structure organisationnelle de gestion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Protocole d'inspection et de quarantaine pour les légumes et haricots secs conservés et déshydratés exportés vers la Chine, signé entre l'autorité compétente du pays demandeur et l'Administration générale des douanes.</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Fournir des informations sur l'organisation de la gestion de l'entreprise et la dotation en personnel des départements ou des postes liés à la gestion de l'hygiène des usines et de la sécurité alimentaire.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Les entreprises devraient créer des départements ou des postes responsables de la gestion de l'hygiène des usines et de la sécurité alimentaire, et les doter de gestionnaires ayant une formation professionnelle liée à l'hygiène des usines et à la sécurité alimentaire.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Emplacement de l'entreprise et disposition de l'atelier</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Sélection du site et environnement de l'usine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et 3.2 dans « Spécifications générales d'hygiène de la norme nationale de sécurité alimentaire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Fournir un plan d'étage de la zone de l'usine et indiquer les noms des différentes zones d'exploitation.</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Fournir des photos de l'environnement où se trouve l'usine. Les photos doivent indiquer les informations sur l'environnement environnant (zones urbaines, suburbaines, industrielles, agricoles et résidentielles) </w:t>
            </w:r>
            <w:r>
              <w:rPr>
                <w:rFonts w:ascii="Times New Roman" w:eastAsia="方正仿宋_GBK" w:cs="Times New Roman"/>
                <w:color w:val="000000"/>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L’aménagement de la zone de l’usine répond aux besoins de production et de transformation.</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n’y a aucune source de pollution autour de la zone de l’usine.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Aménagement de l'atelier</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dans « Spécifications générales d'hygiène de la norme nationale de sécurité alimentaire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Fournir un plan d'étage de l'atelier, marquant le flux des personnes, la logistique, le débit d'eau, les procédures de traitement et les différentes zones de nettoyage.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La superficie et la hauteur de l'atelier doivent être compatibles avec la capacité de production et l'emplacement des équipements, répondre au flux de processus et aux exigences de sécurité et de santé des produits traités et éviter la </w:t>
            </w:r>
            <w:r>
              <w:rPr>
                <w:rFonts w:ascii="Times New Roman" w:eastAsia="方正仿宋_GBK" w:cs="Times New Roman"/>
                <w:color w:val="000000"/>
                <w:kern w:val="0"/>
                <w:sz w:val="24"/>
                <w:szCs w:val="24"/>
              </w:rPr>
              <w:lastRenderedPageBreak/>
              <w:t>contamination croisée.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portes et fenêtres pouvant être ouvertes dans l'atelier et le passage le reliant au monde extérieur doivent être dotés d'installations pour empêcher les insectes, les rats, les oiseaux, les chauves-souris et autres animaux volants.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Installations et équipements</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Équipements de production et de transformation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dans « Spécifications générales d'hygiène de la norme nationale de sécurité alimentaire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Fournir une liste des principaux équipements et installations, ainsi que des capacités de conception et de traitement.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être équipées d'équipements de production adaptés aux capacités de production et de transformation.</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Installations d'entreposage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dans « Normes nationales de sécurité alimentaire, Spécifications générales d'hygiène pour la production alimentaire »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S'il existe un entrepôt frigorifique, veuillez décrire les exigences en matière de contrôle de la température et les méthodes de surveillance. (le cas échéant)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installations de stockage peuvent répondre aux exigences de base en matière de stockage des produits, de prévention des insectes, de contrôle de la température et de l'humidité.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 Eau /glace/vapeur</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 Eau/vapeur/glace pour la </w:t>
            </w:r>
            <w:r>
              <w:rPr>
                <w:rFonts w:ascii="Times New Roman" w:eastAsia="方正仿宋_GBK" w:cs="Times New Roman"/>
                <w:kern w:val="0"/>
                <w:sz w:val="24"/>
                <w:szCs w:val="24"/>
              </w:rPr>
              <w:lastRenderedPageBreak/>
              <w:t>production et la transformation (le cas échéant)</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 Normes nationales de sécurité alimentaire et normes d'hygiène pour l'eau potable » </w:t>
            </w:r>
            <w:r>
              <w:rPr>
                <w:rFonts w:ascii="Times New Roman" w:eastAsia="方正仿宋_GBK" w:cs="Times New Roman"/>
                <w:kern w:val="0"/>
                <w:sz w:val="24"/>
                <w:szCs w:val="24"/>
              </w:rPr>
              <w:lastRenderedPageBreak/>
              <w:t>(GB 5749).</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dans « Spécifications générales d'hygiène de la norme nationale de sécurité alimentaire pour la production alimentaire »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4.1.1 Les entreprises doivent s'assurer que la qualit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de l'eau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pond aux exigences de production </w:t>
            </w:r>
            <w:r>
              <w:rPr>
                <w:rFonts w:ascii="Times New Roman" w:eastAsia="方正仿宋_GBK" w:cs="Times New Roman" w:hint="eastAsia"/>
                <w:kern w:val="0"/>
                <w:sz w:val="24"/>
                <w:szCs w:val="24"/>
              </w:rPr>
              <w:lastRenderedPageBreak/>
              <w:t>et de traitement et doivent fournir des rapports d'analyse de l'eau de production et de traitement si 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cessaire.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 L'eau de transformation des aliments et toute autre eau qui n'est pas en contact avec les aliments (telle que les condensats indirects,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ou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transport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dans des canalisations compl</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tement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par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pour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viter toute contamination crois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Les entreprises doivent tester la qualit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de l'eau de production </w:t>
            </w:r>
            <w:r>
              <w:rPr>
                <w:rFonts w:ascii="Times New Roman" w:eastAsia="方正仿宋_GBK" w:cs="宋体" w:hint="eastAsia"/>
                <w:kern w:val="0"/>
                <w:sz w:val="24"/>
                <w:szCs w:val="24"/>
              </w:rPr>
              <w:lastRenderedPageBreak/>
              <w:t>(si elle est utilis</w:t>
            </w:r>
            <w:r>
              <w:rPr>
                <w:rFonts w:ascii="Times New Roman" w:eastAsia="方正仿宋_GBK" w:cs="宋体" w:hint="eastAsia"/>
                <w:kern w:val="0"/>
                <w:sz w:val="24"/>
                <w:szCs w:val="24"/>
              </w:rPr>
              <w:t>é</w:t>
            </w:r>
            <w:r>
              <w:rPr>
                <w:rFonts w:ascii="Times New Roman" w:eastAsia="方正仿宋_GBK" w:cs="宋体" w:hint="eastAsia"/>
                <w:kern w:val="0"/>
                <w:sz w:val="24"/>
                <w:szCs w:val="24"/>
              </w:rPr>
              <w:t>e) pour s'assurer qu'elle r</w:t>
            </w:r>
            <w:r>
              <w:rPr>
                <w:rFonts w:ascii="Times New Roman" w:eastAsia="方正仿宋_GBK" w:cs="宋体" w:hint="eastAsia"/>
                <w:kern w:val="0"/>
                <w:sz w:val="24"/>
                <w:szCs w:val="24"/>
              </w:rPr>
              <w:t>é</w:t>
            </w:r>
            <w:r>
              <w:rPr>
                <w:rFonts w:ascii="Times New Roman" w:eastAsia="方正仿宋_GBK" w:cs="宋体" w:hint="eastAsia"/>
                <w:kern w:val="0"/>
                <w:sz w:val="24"/>
                <w:szCs w:val="24"/>
              </w:rPr>
              <w:t>pond aux exigences de s</w:t>
            </w:r>
            <w:r>
              <w:rPr>
                <w:rFonts w:ascii="Times New Roman" w:eastAsia="方正仿宋_GBK" w:cs="宋体" w:hint="eastAsia"/>
                <w:kern w:val="0"/>
                <w:sz w:val="24"/>
                <w:szCs w:val="24"/>
              </w:rPr>
              <w:t>é</w:t>
            </w:r>
            <w:r>
              <w:rPr>
                <w:rFonts w:ascii="Times New Roman" w:eastAsia="方正仿宋_GBK" w:cs="宋体" w:hint="eastAsia"/>
                <w:kern w:val="0"/>
                <w:sz w:val="24"/>
                <w:szCs w:val="24"/>
              </w:rPr>
              <w:t>curit</w:t>
            </w:r>
            <w:r>
              <w:rPr>
                <w:rFonts w:ascii="Times New Roman" w:eastAsia="方正仿宋_GBK" w:cs="宋体" w:hint="eastAsia"/>
                <w:kern w:val="0"/>
                <w:sz w:val="24"/>
                <w:szCs w:val="24"/>
              </w:rPr>
              <w:t>é</w:t>
            </w:r>
            <w:r>
              <w:rPr>
                <w:rFonts w:ascii="Times New Roman" w:eastAsia="方正仿宋_GBK" w:cs="宋体" w:hint="eastAsia"/>
                <w:kern w:val="0"/>
                <w:sz w:val="24"/>
                <w:szCs w:val="24"/>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34B6D">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Matières premières et matériaux d'emballage</w:t>
            </w:r>
          </w:p>
        </w:tc>
      </w:tr>
      <w:tr w:rsidR="00034B6D">
        <w:trPr>
          <w:trHeight w:val="66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Réception et contrôle des matières premières et des excipients</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dans « Spécifications générales d'hygiène de la norme nationale de sécurité alimentaire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Fournir des mesures d'acceptation pour les matières premières et les additifs, y compris les normes d'acceptation et les méthodes d'acceptation.</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normes d'acceptation des matières premières et des additifs sont conformes aux réglementations et normes chinoises.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entreprises doivent inspecter les conditions phytosanitaires et de sécurité végétale des matières premières avant d'entrer dans l'usine, ou prendre les mesures de lutte antiparasitaire nécessaires pour </w:t>
            </w:r>
            <w:r>
              <w:rPr>
                <w:rFonts w:ascii="Times New Roman" w:eastAsia="方正仿宋_GBK" w:cs="Times New Roman"/>
                <w:kern w:val="0"/>
                <w:sz w:val="24"/>
                <w:szCs w:val="24"/>
              </w:rPr>
              <w:lastRenderedPageBreak/>
              <w:t>garantir que les matières premières répondent aux exigences de sécurité de la production, et établir des registres d'acceptation et de lutte antiparasitaire, et conserver les registres pour pas moins de 2 ans.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des matières premières</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 Limites des normes nationales de sécurité alimentaire concernant les bactéries pathogènes dans les aliments » (GB29921).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"Normes nationales de sécurité alimentaire pour l'utilisation d'additifs alimentaires" (GB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 Limites des normes nationales de sécurité alimentaire concernant les mycotoxines dans les aliments » (GB 2761)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 Limites des normes nationales de sécurité alimentaire concernant les contaminants dans les aliments » (GB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5. « Limites maximales de résidus de pesticides dans les </w:t>
            </w:r>
            <w:r>
              <w:rPr>
                <w:rFonts w:ascii="Times New Roman" w:eastAsia="方正仿宋_GBK" w:cs="Times New Roman"/>
                <w:color w:val="000000"/>
                <w:kern w:val="0"/>
                <w:sz w:val="24"/>
                <w:szCs w:val="24"/>
              </w:rPr>
              <w:lastRenderedPageBreak/>
              <w:t>aliments selon la norme nationale de sécurité alimentaire » (GB 2763).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Fournir le dernier rapport de test attestant que le produit est conforme aux normes nationales de sécurité alimentaire de la Chine. (le cas échéant).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Fournir des documents prouvant que les matières premières produites par l'entreprise doivent provenir de zones où les organismes de quarantaine ne préoccupent pas la Chine et que les fournisseurs de matières premières ont des qualifications qui répondent aux exigences locales.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matières premières utilisées doivent être conformes aux lois et réglementations chinoises, aux normes nationales de sécurité alimentaire et aux accords, protocoles, mémorandums et autres réglementations pertinents sur l'inspection et la quarantaine des légumes et haricots secs conservés et déshydratés exportés vers la Chine.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l'entreprise a établi une évaluation de la conformité des matières premières et mis en œuvre une gestion de la traçabilité des matières premières achetées conformément aux exigences de l'accord.</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Additifs alimentaires (le cas échéant)</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Normes nationales de sécurité sanitaire des aliments, Spécifications générales d'hygiène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"Normes nationales de sécurité alimentaire pour l'utilisation d'additifs alimentaires" (GB 2760 ).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Liste des additifs alimentaires utilisés dans la production et la transformation (y compris le nom, le but, la quantité ajoutée, etc.).</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additifs alimentaires utilisés dans la production sont conformes à la réglementation chinoise sur l’utilisation des additifs alimentaires.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Matériaux d'emballage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8.5 dans « Spécifications générales d'hygiène des normes nationales de sécurité alimentaire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Accords, mémorandums et protocoles bilatéraux pertinents en matière d'inspection et de quarantaine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Fournir la preuve que les matériaux d'emballage interne et externe conviennent à l'emballage du produit.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Fournir des styles d'étiquettes pour les produits finis destinés à être exportés vers la Chine.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matériaux d'emballage n'affectent pas la sécurité alimentaire et les caractéristiques du produit dans des conditions spécifiques de stockage et d'utilisation.</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marquages des emballages doivent être conformes aux exigences des accords, mémorandums et protocoles bilatéraux d’inspection et de quarantaine.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6. Contrôle de la production et de la transformation</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6.1 État de fonctionnement du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contrôle de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et de l'hygi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8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(GB14881-2013).</w:t>
            </w:r>
          </w:p>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 Exigences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pour les entreprises de production alimentaire dans le cadre du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d'analyse des risques et de maîtrise des points critiques (HACCP) » (GB/T 27341).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6.1.1 Fournir le flux du processus de production et de transformation, indiquer les points de contrôle critiques (CCP) et les mesures de contrôle des dangers prises.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t>6.1.2 Si le système HACCP est adopté, fournir une feuille de travail d'analyse des dangers et un plan HACCP, des enregistrements de surveillance CCP, des enregistrements de correction et des exemples de formulaires d'enregistrement de vérification (le cas échéant).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t>1. Le processus de production et de transformation de l'entreprise et les principaux paramètres de processus correspondants doivent être scientifiques et standardisés pour garantir la sécurité des produits, et des mesures spéciales de contrôle des risques ou des points de contrôle critiques (CCP) doivent être adoptés dans les maillons clés où des risques pour la sécurité existent.</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0"/>
                <w:szCs w:val="20"/>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Contrôle des mycotoxines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 Limites des normes nationales de sécurité alimentaire concernant les mycotoxines dans les aliments » (GB 2761).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des rapports d'inspection par échantillonnage indiquant que les mycotoxines </w:t>
            </w:r>
            <w:r>
              <w:rPr>
                <w:rFonts w:ascii="Times New Roman" w:eastAsia="方正仿宋_GBK" w:cs="Times New Roman"/>
                <w:kern w:val="0"/>
                <w:sz w:val="24"/>
                <w:szCs w:val="24"/>
              </w:rPr>
              <w:t>présentes dans les produits fabriqués, transformés et stockés sont conformes aux normes nationales de sécurité alimentaire de la Chine.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Si le système de contrôle de l’usine de transformation pour les mycotoxines </w:t>
            </w:r>
            <w:r>
              <w:rPr>
                <w:rFonts w:ascii="Times New Roman" w:eastAsia="方正仿宋_GBK" w:cs="Times New Roman"/>
                <w:kern w:val="0"/>
                <w:sz w:val="24"/>
                <w:szCs w:val="24"/>
              </w:rPr>
              <w:t>présentes dans les produits après la production, la transformation et le stockage est raisonnable.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résultats des tests doivent être conformes aux normes </w:t>
            </w:r>
            <w:r>
              <w:rPr>
                <w:rFonts w:ascii="Times New Roman" w:eastAsia="方正仿宋_GBK" w:cs="Times New Roman"/>
                <w:color w:val="000000"/>
                <w:kern w:val="0"/>
                <w:sz w:val="24"/>
                <w:szCs w:val="24"/>
              </w:rPr>
              <w:t>nationales chinoises de sécurité alimentaire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6.3 Utilisation d'additifs alimentaires et </w:t>
            </w:r>
            <w:r>
              <w:rPr>
                <w:rFonts w:ascii="Times New Roman" w:eastAsia="方正仿宋_GBK" w:cs="Times New Roman"/>
                <w:kern w:val="0"/>
                <w:sz w:val="24"/>
                <w:szCs w:val="24"/>
              </w:rPr>
              <w:lastRenderedPageBreak/>
              <w:t>de fortifiants nutritionnels (le cas échéant)</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Article 7.3 des « Normes nationales de sécurité sanitaire des aliments, </w:t>
            </w:r>
            <w:r>
              <w:rPr>
                <w:rFonts w:ascii="Times New Roman" w:eastAsia="方正仿宋_GBK" w:cs="Times New Roman"/>
                <w:color w:val="000000"/>
                <w:kern w:val="0"/>
                <w:sz w:val="24"/>
                <w:szCs w:val="24"/>
              </w:rPr>
              <w:lastRenderedPageBreak/>
              <w:t>Spécifications générales d'hygiène pour la production alimentaire » (GB14881).</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 Norme nationale de sécurité alimentaire pour l'utilisation d'exhausteurs de nutrition alimentaire » (GB14880).</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Fournir une liste des additifs alimentaires et des suppl</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ments </w:t>
            </w:r>
            <w:r>
              <w:rPr>
                <w:rFonts w:ascii="Times New Roman" w:eastAsia="方正仿宋_GBK" w:cs="Times New Roman" w:hint="eastAsia"/>
                <w:kern w:val="0"/>
                <w:sz w:val="24"/>
                <w:szCs w:val="24"/>
              </w:rPr>
              <w:lastRenderedPageBreak/>
              <w:t>nutritionnels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dans la production et la transformation (y compris les noms, les utilisations, les quantit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ajout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etc.).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Les résultats des tests doivent être conformes aux </w:t>
            </w:r>
            <w:r>
              <w:rPr>
                <w:rFonts w:ascii="Times New Roman" w:eastAsia="方正仿宋_GBK" w:cs="Times New Roman"/>
                <w:color w:val="000000"/>
                <w:kern w:val="0"/>
                <w:sz w:val="24"/>
                <w:szCs w:val="24"/>
              </w:rPr>
              <w:t xml:space="preserve">normes nationales chinoises de sécurité </w:t>
            </w:r>
            <w:r>
              <w:rPr>
                <w:rFonts w:ascii="Times New Roman" w:eastAsia="方正仿宋_GBK" w:cs="Times New Roman"/>
                <w:color w:val="000000"/>
                <w:kern w:val="0"/>
                <w:sz w:val="24"/>
                <w:szCs w:val="24"/>
              </w:rPr>
              <w:lastRenderedPageBreak/>
              <w:t>alimentaire.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7. Nettoyage et désinfection</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Nettoyage et désinfection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dans « Spécifications générales d'hygiène de la norme nationale de sécurité alimentaire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Fournir des mesures de nettoyage et de désinfection, y compris les méthodes et la fréquence de nettoyage et de désinfection, ainsi que la vérification des effets du nettoyage et de la désinfection.</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mesures de nettoyage et de désinfection doivent permettre d’éliminer la contamination croisée et de répondre aux exigences d’hygiène.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8. Lutte contre les produits chimiques, les déchets, les parasites et les rongeurs</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Contrôle chimique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 Normes nationales de sécurité alimentaire Spécifications générales d'hygiène pour la production alimentaire » </w:t>
            </w:r>
            <w:r>
              <w:rPr>
                <w:rFonts w:ascii="Times New Roman" w:eastAsia="方正仿宋_GBK" w:cs="Times New Roman"/>
                <w:color w:val="000000"/>
                <w:kern w:val="0"/>
                <w:sz w:val="24"/>
                <w:szCs w:val="24"/>
              </w:rPr>
              <w:lastRenderedPageBreak/>
              <w:t>( GB14881-2013).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w:t>
            </w:r>
            <w:r>
              <w:rPr>
                <w:rFonts w:ascii="Times New Roman" w:eastAsia="方正仿宋_GBK" w:cs="Times New Roman"/>
                <w:color w:val="000000"/>
                <w:kern w:val="0"/>
                <w:sz w:val="24"/>
                <w:szCs w:val="24"/>
              </w:rPr>
              <w:t>Décrire brièvement les exigences d'utilisation et de stockage des produits chimiques.</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 système de gestion des produits chimiques est raisonnable et peut empêcher efficacement les produits chimiques utilisés de </w:t>
            </w:r>
            <w:r>
              <w:rPr>
                <w:rFonts w:ascii="Times New Roman" w:eastAsia="方正仿宋_GBK" w:cs="Times New Roman"/>
                <w:kern w:val="0"/>
                <w:sz w:val="24"/>
                <w:szCs w:val="24"/>
              </w:rPr>
              <w:lastRenderedPageBreak/>
              <w:t>contaminer les produits.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8.2 </w:t>
            </w:r>
            <w:r>
              <w:rPr>
                <w:rFonts w:ascii="Times New Roman" w:eastAsia="方正仿宋_GBK" w:cs="Times New Roman"/>
                <w:color w:val="000000"/>
                <w:kern w:val="0"/>
                <w:sz w:val="24"/>
                <w:szCs w:val="24"/>
              </w:rPr>
              <w:t xml:space="preserve">Gestion de la pollution </w:t>
            </w:r>
            <w:r>
              <w:rPr>
                <w:rFonts w:ascii="Times New Roman" w:eastAsia="方正仿宋_GBK" w:cs="Times New Roman"/>
                <w:kern w:val="0"/>
                <w:sz w:val="24"/>
                <w:szCs w:val="24"/>
              </w:rPr>
              <w:t>physique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dans « Normes nationales de sécurité alimentaire Spécifications générales d'hygiène pour la production alimentaire » (GB14881-2013).</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Fournir des systèmes de gestion et des dossiers de traitement associés pour prévenir la pollution physique.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Un système de gestion pour prévenir la contamination par des matières étrangères doit être établi, les sources et voies possibles de pollution doivent être analysées et les plans et procédures de contrôle correspondants doivent être formulés.</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Des mesures telles que l'entretien des équipements, la gestion de l'assainissement, la gestion sur site, la gestion du personnel externe et la supervision du processus de transformation doivent être adoptées pour maximiser le</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Minimisez le risque de contamination des aliments par du verre, du métal, du plastique et d'autres corps étrangers.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Des mesures efficaces telles que des écrans, des capteurs, des aimants et des détecteurs de métaux doivent être prises pour réduire le risque de contamination des aliments par </w:t>
            </w:r>
            <w:r>
              <w:rPr>
                <w:rFonts w:ascii="Times New Roman" w:eastAsia="方正仿宋_GBK" w:cs="Times New Roman"/>
                <w:color w:val="000000"/>
                <w:kern w:val="0"/>
                <w:sz w:val="24"/>
                <w:szCs w:val="24"/>
              </w:rPr>
              <w:lastRenderedPageBreak/>
              <w:t>du métal ou d'autres corps étrangers.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Lutte contre les nuisibles et les rongeurs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dans « Spécifications générales d'hygiène de la norme nationale de sécurité alimentaire pour la production alimentaire » (GB14881).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Fournir des méthodes de lutte antiparasitaire et des plans d'aménagement. Si cela est entrepris par un tiers, fournir les qualifications de ce dernier.</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L’impact des moustiques, mouches et autres insectes nuisibles et rongeurs sur la sécurité et la santé de la production doit être évité.</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 des déchets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dans « Spécifications générales d'hygiène de la norme nationale de sécurité alimentaire pour la production alimentaire » ( 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Fournir un système de gestion des déchets et les dossiers de traitement associés.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conteneurs de produits comestibles et les conteneurs de stockage des déchets dans l'atelier doivent être clairement marqués et distingués.</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déchets doivent être stockés séparément et traités à temps pour éviter toute pollution de la production.</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Ne répond pas</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9. Traçabilité des produits</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Traçabilité et rappel</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11 dans « Normes nationales de sécurité alimentaire Spécifications générales d'hygiène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Décrire brièvement la procédure de traçabilité du produit, en prenant comme exemple le numéro de lot d'un lot de produits finis pour expliquer comment retracer le produit fini jusqu'à la matière première.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Des procédures de traçabilité doivent être établies pour assurer une traçabilité bidirectionnelle sur toute la chaîne des matières premières, des processus de production et de transformation et des produits finis.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 des entrées et sorties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11 et 14.1 dans « Spécifications générales </w:t>
            </w:r>
            <w:r>
              <w:rPr>
                <w:rFonts w:ascii="Times New Roman" w:eastAsia="方正仿宋_GBK" w:cs="Times New Roman"/>
                <w:color w:val="000000"/>
                <w:kern w:val="0"/>
                <w:sz w:val="24"/>
                <w:szCs w:val="24"/>
              </w:rPr>
              <w:lastRenderedPageBreak/>
              <w:t>d'hygiène de la norme nationale de sécurité alimentaire pour la production alimentaire »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Assurer la gestion des entrées et des sorties de produits.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Les produits doivent être inspectés avant d'entrer dans </w:t>
            </w:r>
            <w:r>
              <w:rPr>
                <w:rFonts w:ascii="Times New Roman" w:eastAsia="方正仿宋_GBK" w:cs="Times New Roman"/>
                <w:kern w:val="0"/>
                <w:sz w:val="24"/>
                <w:szCs w:val="24"/>
              </w:rPr>
              <w:lastRenderedPageBreak/>
              <w:t>l'entrepôt et les enregistrements d'acceptation, de stockage et de sortie doivent être conservés pendant au moins 2 ans.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xml:space="preserve">□Ne répond </w:t>
            </w:r>
            <w:r>
              <w:rPr>
                <w:rFonts w:ascii="Times New Roman" w:eastAsia="方正仿宋_GBK" w:cs="Times New Roman"/>
                <w:kern w:val="0"/>
                <w:sz w:val="24"/>
                <w:szCs w:val="24"/>
              </w:rPr>
              <w:lastRenderedPageBreak/>
              <w:t>pas</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10. Gestion du personnel et formation</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 de la santé et de l'hygiène du personnel</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dans « Spécifications générales d'hygiène de la norme nationale de sécurité alimentaire pour la production alimentaire »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Fournir aux employés des exigences en matière de gestion de la santé avant l'emploi et d'examen physique des employés.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Avant d'embaucher des employés, ils doivent subir un examen physique et prouver qu'ils sont aptes à travailler dans une entreprise de transformation des aliments.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employés doivent subir des examens physiques réguliers et tenir des registres.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Formation du personnel</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dans « Normes nationales de sécurité alimentaire Spécifications générales d'hygiène pour la production alimentaire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Fournir aux employés des plans de formation annuels, du contenu, des évaluations et des dossiers.</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contenu de la formation doit couvrir le mémorandum d'inspection et de quarantaine, les accords et protocoles, les réglementations et normes chinoises pour les légumes en conserve et déshydratés et les haricots secs exportés vers la Chine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Exigences de gestion</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13.3 dans « Normes nationales de sécurité alimentaire Spécifications générales d'hygiène pour la production alimentaire » </w:t>
            </w:r>
            <w:r>
              <w:rPr>
                <w:rFonts w:ascii="Times New Roman" w:eastAsia="方正仿宋_GBK" w:cs="Times New Roman"/>
                <w:color w:val="000000"/>
                <w:kern w:val="0"/>
                <w:sz w:val="24"/>
                <w:szCs w:val="24"/>
              </w:rPr>
              <w:lastRenderedPageBreak/>
              <w:t>(GB14881).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10.3 Fournir des dossiers de formation au personnel de direction sur les réglementations pertinentes du pays/de la région où se trouvent les produits exportés et les lois et </w:t>
            </w:r>
            <w:r>
              <w:rPr>
                <w:rFonts w:ascii="Times New Roman" w:eastAsia="方正仿宋_GBK" w:cs="Times New Roman"/>
                <w:color w:val="000000"/>
                <w:kern w:val="0"/>
                <w:sz w:val="24"/>
                <w:szCs w:val="24"/>
              </w:rPr>
              <w:lastRenderedPageBreak/>
              <w:t>réglementations chinoises en matière de santé végétale et de sécurité alimentaire, et effectuer des contrôles ponctuels sur place et des questions et réponses si nécessaire.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Les capacités commerciales du personnel de production et de gestion de l'entreprise doivent être adaptées aux exigences du poste, et ils </w:t>
            </w:r>
            <w:r>
              <w:rPr>
                <w:rFonts w:ascii="Times New Roman" w:eastAsia="方正仿宋_GBK" w:cs="Times New Roman"/>
                <w:color w:val="000000"/>
                <w:kern w:val="0"/>
                <w:sz w:val="24"/>
                <w:szCs w:val="24"/>
              </w:rPr>
              <w:lastRenderedPageBreak/>
              <w:t>doivent être familiers avec les dispositions pertinentes des lois et réglementations en matière de santé végétale et de sécurité alimentaire du pays/de la région et de la Chine, ainsi qu'avec le protocole signé par les deux parties pour l'exportation de légumes frais et déshydratés et de haricots secs vers la Chine et ce cahier des charges requis.</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Avoir les qualifications et les capacités adaptées à leur travail.</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11. Auto-examen et maîtrise de soi</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 Inspection du produit fini</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dans « Normes nationales de sécurité alimentaire Spécifications générales d'hygiène pour la production alimentaire » (GB14881)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"Normes nationales de sécurité alimentaire pour l'utilisation d'additifs alimentaires" (GB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 Limites des normes nationales de sécurité alimentaire concernant les mycotoxines dans les aliments » (GB 2761 )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4. « Limites des normes nationales de sécurité alimentaire concernant les contaminants dans les aliments » (GB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 Limites maximales de résidus de pesticides dans les aliments selon la norme nationale de sécurité alimentaire » (GB 2763)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Fournir les éléments d'inspection des produits finis, les indicateurs, les méthodes et la fréquence d'inspection.</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une entreprise dispose de son propre laboratoire, elle doit présenter la preuve de ses capacités et qualifications de laboratoire ; si l'entreprise confie un laboratoire tiers confié, elle doit fournir les qualifications de laboratoire confiées </w:t>
            </w:r>
            <w:r>
              <w:rPr>
                <w:rFonts w:ascii="Times New Roman" w:eastAsia="方正仿宋_GBK" w:cs="Times New Roman"/>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effectuer des tests phytosanitaires, de sécurité alimentaire et autres sur leurs produits pour garantir leur conformité aux exigences chinoises, et conserver les enregistrements des tests pendant au moins 2 ans.</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Les entreprises doivent disposer de capacités d'inspection et d'essais phytosanitaires et de sécurité alimentaire des produits, ou confier à une institution </w:t>
            </w:r>
            <w:r>
              <w:rPr>
                <w:rFonts w:ascii="Times New Roman" w:eastAsia="方正仿宋_GBK" w:cs="Times New Roman"/>
                <w:color w:val="000000"/>
                <w:kern w:val="0"/>
                <w:sz w:val="24"/>
                <w:szCs w:val="24"/>
              </w:rPr>
              <w:lastRenderedPageBreak/>
              <w:t>possédant les qualifications appropriées la réalisation d'inspections et d'essais.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12. Lutte antiparasitaire</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Prévention et contrôle des organismes de quarantaine préoccupant la Chine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légumes et haricots secs conservés et déshydratés exportés vers la Chine.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L'entreprise doit soumettre une liste des organismes de quarantaine préoccupants pour la Chine, ainsi que son système de surveillance et ses résultats.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prendre des mesures efficaces dans le processus de production et de stockage pour empêcher que les produits ne soient infectés par des organismes nuisibles, surveiller les organismes de quarantaine qui préoccupent la Chine et tenir des registres de surveillance pendant au moins deux ans.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Identification des organismes nuisibles</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légumes et haricots secs conservés et déshydratés exportés vers la Chine.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12.2 Les entreprises doivent soumettre des enregistrements des organismes nuisibles trouvés pendant la production et le stockage ainsi que des enregistrements d'identification des institutions </w:t>
            </w:r>
            <w:r>
              <w:rPr>
                <w:rFonts w:ascii="Times New Roman" w:eastAsia="方正仿宋_GBK" w:cs="Times New Roman"/>
                <w:color w:val="000000"/>
                <w:kern w:val="0"/>
                <w:sz w:val="24"/>
                <w:szCs w:val="24"/>
              </w:rPr>
              <w:lastRenderedPageBreak/>
              <w:t>professionnelles qui leur sont confiées.</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Les entreprises devraient avoir la capacité d'identifier les organismes nuisibles trouvés pendant la production et le stockage, ou confier à une organisation professionnelle le </w:t>
            </w:r>
            <w:r>
              <w:rPr>
                <w:rFonts w:ascii="Times New Roman" w:eastAsia="方正仿宋_GBK" w:cs="Times New Roman"/>
                <w:color w:val="000000"/>
                <w:kern w:val="0"/>
                <w:sz w:val="24"/>
                <w:szCs w:val="24"/>
              </w:rPr>
              <w:lastRenderedPageBreak/>
              <w:t>soin de procéder à l'identification et d'établir des registres de travail, qui devraient être conservés pendant au moins 2 ans.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Lutte antiparasitaire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légumes en conserve et déshydratés et des haricots secs exportés vers la Chine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L'entreprise doit soumettre des registres des mesures de lutte antiparasitaire mises en œuvre dans les zones de production et de stockage.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mettre en œuvre régulièrement ou si nécessaire des mesures de lutte antiparasitaire dans les zones de production et de stockage. Les mesures de prévention et de contrôle pertinentes doivent être enregistrées et conservées pendant au moins 2 ans.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Traitement de fumigation (si nécessaire)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légumes et haricots secs conservés et déshydratés exportés vers la Chine.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méthode de traitement par fumigation doit être conforme aux exigences chinoises, et les institutions et le personnel mettant en œuvre la fumigation doivent avoir les qualifications ou conditions appropriées.</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13. Déclaration</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Déclaration d'entreprise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w:t>
            </w:r>
            <w:r>
              <w:rPr>
                <w:rFonts w:ascii="Times New Roman" w:eastAsia="方正仿宋_GBK" w:cs="Times New Roman"/>
                <w:color w:val="000000"/>
                <w:kern w:val="0"/>
                <w:sz w:val="24"/>
                <w:szCs w:val="24"/>
              </w:rPr>
              <w:lastRenderedPageBreak/>
              <w:t xml:space="preserve">alimentaires importés" (Ordonnance n° 248 de l'Administration générale des douanes)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porter la signature et le sceau de la personne morale.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Confirmation par l'autorité compétente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être signé par l'autorité compétente et tamponné par l'autorité compétente.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34B6D" w:rsidRDefault="00034B6D">
      <w:pPr>
        <w:widowControl/>
        <w:spacing w:line="324" w:lineRule="atLeast"/>
        <w:jc w:val="left"/>
        <w:rPr>
          <w:rFonts w:ascii="Times New Roman" w:eastAsia="宋体" w:cs="Times New Roman"/>
          <w:color w:val="000000"/>
          <w:kern w:val="0"/>
          <w:sz w:val="27"/>
          <w:szCs w:val="27"/>
        </w:rPr>
      </w:pPr>
    </w:p>
    <w:sectPr w:rsidR="00034B6D">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86" w:rsidRDefault="009E5686" w:rsidP="009F4F79">
      <w:r>
        <w:separator/>
      </w:r>
    </w:p>
  </w:endnote>
  <w:endnote w:type="continuationSeparator" w:id="0">
    <w:p w:rsidR="009E5686" w:rsidRDefault="009E5686" w:rsidP="009F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79" w:rsidRPr="009F4F79" w:rsidRDefault="009F4F79">
    <w:pPr>
      <w:pStyle w:val="a4"/>
      <w:rPr>
        <w:color w:val="A6A6A6" w:themeColor="background1" w:themeShade="A6"/>
      </w:rPr>
    </w:pPr>
    <w:r w:rsidRPr="009F4F79">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86" w:rsidRDefault="009E5686" w:rsidP="009F4F79">
      <w:r>
        <w:separator/>
      </w:r>
    </w:p>
  </w:footnote>
  <w:footnote w:type="continuationSeparator" w:id="0">
    <w:p w:rsidR="009E5686" w:rsidRDefault="009E5686" w:rsidP="009F4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C307520"/>
    <w:lvl w:ilvl="0">
      <w:start w:val="1"/>
      <w:numFmt w:val="decimal"/>
      <w:lvlText w:val="%1."/>
      <w:lvlJc w:val="left"/>
      <w:pPr>
        <w:tabs>
          <w:tab w:val="num" w:pos="2040"/>
        </w:tabs>
        <w:ind w:left="2040" w:hanging="360"/>
      </w:pPr>
    </w:lvl>
  </w:abstractNum>
  <w:abstractNum w:abstractNumId="1">
    <w:nsid w:val="0FFFFF7D"/>
    <w:multiLevelType w:val="singleLevel"/>
    <w:tmpl w:val="D98C9204"/>
    <w:lvl w:ilvl="0">
      <w:start w:val="1"/>
      <w:numFmt w:val="decimal"/>
      <w:lvlText w:val="%1."/>
      <w:lvlJc w:val="left"/>
      <w:pPr>
        <w:tabs>
          <w:tab w:val="num" w:pos="1620"/>
        </w:tabs>
        <w:ind w:left="1620" w:hanging="360"/>
      </w:pPr>
    </w:lvl>
  </w:abstractNum>
  <w:abstractNum w:abstractNumId="2">
    <w:nsid w:val="0FFFFF7E"/>
    <w:multiLevelType w:val="singleLevel"/>
    <w:tmpl w:val="37A07462"/>
    <w:lvl w:ilvl="0">
      <w:start w:val="1"/>
      <w:numFmt w:val="decimal"/>
      <w:lvlText w:val="%1."/>
      <w:lvlJc w:val="left"/>
      <w:pPr>
        <w:tabs>
          <w:tab w:val="num" w:pos="1200"/>
        </w:tabs>
        <w:ind w:left="1200" w:hanging="360"/>
      </w:pPr>
    </w:lvl>
  </w:abstractNum>
  <w:abstractNum w:abstractNumId="3">
    <w:nsid w:val="0FFFFF7F"/>
    <w:multiLevelType w:val="singleLevel"/>
    <w:tmpl w:val="43D01586"/>
    <w:lvl w:ilvl="0">
      <w:start w:val="1"/>
      <w:numFmt w:val="decimal"/>
      <w:lvlText w:val="%1."/>
      <w:lvlJc w:val="left"/>
      <w:pPr>
        <w:tabs>
          <w:tab w:val="num" w:pos="780"/>
        </w:tabs>
        <w:ind w:left="780" w:hanging="360"/>
      </w:pPr>
    </w:lvl>
  </w:abstractNum>
  <w:abstractNum w:abstractNumId="4">
    <w:nsid w:val="0FFFFF80"/>
    <w:multiLevelType w:val="singleLevel"/>
    <w:tmpl w:val="2ABE357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40EF3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0AEC812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0F4262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FEA9C5A"/>
    <w:lvl w:ilvl="0">
      <w:start w:val="1"/>
      <w:numFmt w:val="decimal"/>
      <w:lvlText w:val="%1."/>
      <w:lvlJc w:val="left"/>
      <w:pPr>
        <w:tabs>
          <w:tab w:val="num" w:pos="360"/>
        </w:tabs>
        <w:ind w:left="360" w:hanging="360"/>
      </w:pPr>
    </w:lvl>
  </w:abstractNum>
  <w:abstractNum w:abstractNumId="9">
    <w:nsid w:val="0FFFFF89"/>
    <w:multiLevelType w:val="singleLevel"/>
    <w:tmpl w:val="A2309E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FB"/>
    <w:rsid w:val="00034B6D"/>
    <w:rsid w:val="005A05FB"/>
    <w:rsid w:val="005C7D2C"/>
    <w:rsid w:val="009B21F9"/>
    <w:rsid w:val="009E5686"/>
    <w:rsid w:val="009F4F79"/>
    <w:rsid w:val="00D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4405</Words>
  <Characters>25114</Characters>
  <Application>Microsoft Office Word</Application>
  <DocSecurity>0</DocSecurity>
  <Lines>209</Lines>
  <Paragraphs>58</Paragraphs>
  <ScaleCrop>false</ScaleCrop>
  <Company>Hewlett-Packard Company</Company>
  <LinksUpToDate>false</LinksUpToDate>
  <CharactersWithSpaces>29461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2024-11-18T08:51:00Z</dcterms:created>
  <dcterms:modified xsi:type="dcterms:W3CDTF">2024-11-18T11:04:00Z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