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41" w:rsidRDefault="00147C51">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Conditions d'enregistrement et points clés pour la comparaison et l'inspection des entreprises de production étrangères d'ovoproduits importés</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3B2841" w:rsidRDefault="00147C51">
      <w:pPr>
        <w:pStyle w:val="110"/>
        <w:spacing w:line="560" w:lineRule="exact"/>
        <w:ind w:firstLine="480"/>
        <w:rPr>
          <w:rFonts w:ascii="方正黑体_GBK" w:eastAsia="方正黑体_GBK"/>
          <w:sz w:val="24"/>
          <w:szCs w:val="24"/>
        </w:rPr>
      </w:pPr>
      <w:r>
        <w:rPr>
          <w:rFonts w:ascii="方正黑体_GBK" w:eastAsia="方正黑体_GBK" w:hint="eastAsia"/>
          <w:sz w:val="24"/>
          <w:szCs w:val="24"/>
        </w:rPr>
        <w:t>Instructions pour remplir le formulaire :</w:t>
      </w:r>
    </w:p>
    <w:p w:rsidR="003B2841" w:rsidRDefault="00147C51" w:rsidP="00765E37">
      <w:pPr>
        <w:pStyle w:val="1"/>
        <w:adjustRightInd w:val="0"/>
        <w:snapToGrid w:val="0"/>
        <w:spacing w:line="56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 xml:space="preserve">1. Conformément au </w:t>
      </w:r>
      <w:r>
        <w:rPr>
          <w:rFonts w:ascii="方正仿宋_GBK" w:eastAsia="方正仿宋_GBK" w:cs="Times New Roman" w:hint="eastAsia"/>
          <w:sz w:val="24"/>
          <w:szCs w:val="24"/>
        </w:rPr>
        <w:t>«</w:t>
      </w:r>
      <w:r>
        <w:rPr>
          <w:rFonts w:ascii="方正仿宋_GBK" w:eastAsia="方正仿宋_GBK" w:cs="Times New Roman" w:hint="eastAsia"/>
          <w:sz w:val="24"/>
          <w:szCs w:val="24"/>
        </w:rPr>
        <w:t xml:space="preserve"> Règlement de la République populaire de Chine sur l'enregistrement et la gestion des entreprises de production à l'étranger de produits alimentaires importés </w:t>
      </w:r>
      <w:r>
        <w:rPr>
          <w:rFonts w:ascii="方正仿宋_GBK" w:eastAsia="方正仿宋_GBK" w:cs="Times New Roman" w:hint="eastAsia"/>
          <w:sz w:val="24"/>
          <w:szCs w:val="24"/>
        </w:rPr>
        <w:t>»</w:t>
      </w:r>
      <w:r>
        <w:rPr>
          <w:rFonts w:ascii="方正仿宋_GBK" w:eastAsia="方正仿宋_GBK" w:cs="Times New Roman" w:hint="eastAsia"/>
          <w:sz w:val="24"/>
          <w:szCs w:val="24"/>
        </w:rPr>
        <w:t xml:space="preserve"> ( Ordonnance générale des douanes n° 248), les conditions sanitaires des entreprises de production et de transformation d'ovoproduits à l'étranger qui s'appliquent pour l'enregistrement en Chine doit être conforme aux lois, réglementations et normes chinoises. Les réglementations pertinentes sont conformes aux exigences du Protocole d'inspection et de quarantaine pour les ovoproduits exportés vers la Chine.</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Les autorités compétentes à l'étranger pour les ovoproduits importés </w:t>
      </w:r>
      <w:bookmarkStart w:id="1" w:name="_Hlk14029052"/>
      <w:r>
        <w:rPr>
          <w:rFonts w:ascii="方正仿宋_GBK" w:eastAsia="方正仿宋_GBK" w:cs="Times New Roman" w:hint="eastAsia"/>
          <w:sz w:val="24"/>
          <w:szCs w:val="24"/>
        </w:rPr>
        <w:t xml:space="preserve">doivent procéder à des inspections officielles des </w:t>
      </w:r>
      <w:r>
        <w:rPr>
          <w:rFonts w:ascii="方正仿宋_GBK" w:eastAsia="方正仿宋_GBK" w:cs="Times New Roman" w:hint="eastAsia"/>
          <w:sz w:val="24"/>
          <w:szCs w:val="24"/>
        </w:rPr>
        <w:lastRenderedPageBreak/>
        <w:t xml:space="preserve">fabricants d'ovoproduits sur la base de ce tableau et effectuer des déterminations de conformité honnêtes sur la base des conditions d'inspection réelles. </w:t>
      </w:r>
      <w:bookmarkEnd w:id="1"/>
      <w:r>
        <w:rPr>
          <w:rFonts w:ascii="方正仿宋_GBK" w:eastAsia="方正仿宋_GBK" w:cs="Times New Roman" w:hint="eastAsia"/>
          <w:sz w:val="24"/>
          <w:szCs w:val="24"/>
        </w:rPr>
        <w:t>Soumettez ce formulaire et les documents de certification fournis par les fabricants étrangers de produits à base d'œufs conformément aux exigences pertinentes du Bureau de la sécurité alimentaire des importations et des exportations de l'Administration générale des douanes de Chine.</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Les fabricants étrangers d'ovoproduits doivent procéder à une auto-évaluation et à une auto-inspection avant de demander un enregistrement selon ce formulaire. Fournissez les pièces justificatives conformément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pièces justificatives</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de ce formulaire. Les documents de certification doivent être catalogués, et le nombre et le contenu doivent correspondre au nombre et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documents de certification</w:t>
      </w:r>
      <w:r>
        <w:rPr>
          <w:rFonts w:ascii="方正仿宋_GBK" w:eastAsia="方正仿宋_GBK" w:cs="Times New Roman" w:hint="eastAsia"/>
          <w:sz w:val="24"/>
          <w:szCs w:val="24"/>
        </w:rPr>
        <w:t> »</w:t>
      </w:r>
      <w:r>
        <w:rPr>
          <w:rFonts w:ascii="方正仿宋_GBK" w:eastAsia="方正仿宋_GBK" w:cs="Times New Roman" w:hint="eastAsia"/>
          <w:sz w:val="24"/>
          <w:szCs w:val="24"/>
        </w:rPr>
        <w:t>. Ils doivent être remplis en chinois et en anglais, et le contenu doit être véridique et complet.</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Champ d'application de ce tableau</w:t>
      </w:r>
      <w:r>
        <w:rPr>
          <w:rFonts w:ascii="方正仿宋_GBK" w:eastAsia="方正仿宋_GBK" w:cs="Times New Roman" w:hint="eastAsia"/>
          <w:sz w:val="24"/>
          <w:szCs w:val="24"/>
        </w:rPr>
        <w:t> </w:t>
      </w:r>
      <w:r>
        <w:rPr>
          <w:rFonts w:ascii="方正仿宋_GBK" w:eastAsia="方正仿宋_GBK" w:cs="Times New Roman" w:hint="eastAsia"/>
          <w:sz w:val="24"/>
          <w:szCs w:val="24"/>
        </w:rPr>
        <w:t>: Les ovoproduits font référence aux ovoproduits solides (avec ou sans coquille) ou liquides qui sont transformés avec des œufs comme matière première principale, avec ou sans ajout de matières auxiliaires, et traités par des processus pertinents.</w:t>
      </w:r>
    </w:p>
    <w:p w:rsidR="003B2841" w:rsidRDefault="00147C51" w:rsidP="00765E37">
      <w:pPr>
        <w:pStyle w:val="1"/>
        <w:adjustRightInd w:val="0"/>
        <w:snapToGrid w:val="0"/>
        <w:spacing w:line="560" w:lineRule="exact"/>
        <w:ind w:firstLine="480"/>
        <w:rPr>
          <w:rFonts w:ascii="Times New Roman" w:eastAsia="方正仿宋_GBK" w:cs="Times New Roman"/>
          <w:sz w:val="24"/>
          <w:szCs w:val="24"/>
        </w:rPr>
      </w:pPr>
      <w:r>
        <w:rPr>
          <w:rFonts w:ascii="方正仿宋_GBK" w:eastAsia="方正仿宋_GBK" w:cs="Times New Roman" w:hint="eastAsia"/>
          <w:sz w:val="24"/>
          <w:szCs w:val="24"/>
        </w:rPr>
        <w:t>5. Le contenu anglais est uniquement à titre de référence, le contenu chinois prévaudra.</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3B2841">
        <w:trPr>
          <w:trHeight w:val="764"/>
        </w:trPr>
        <w:tc>
          <w:tcPr>
            <w:tcW w:w="1893"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projet</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conditions et bases</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3B2841" w:rsidRDefault="00147C51">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Remplir les exigences et les documents justificatifs</w:t>
            </w:r>
          </w:p>
          <w:p w:rsidR="003B2841" w:rsidRDefault="003B2841">
            <w:pPr>
              <w:pStyle w:val="1"/>
              <w:spacing w:line="0" w:lineRule="atLeast"/>
              <w:ind w:leftChars="-95" w:left="-199" w:firstLineChars="0" w:firstLine="0"/>
              <w:jc w:val="center"/>
              <w:rPr>
                <w:rFonts w:ascii="Times New Roman" w:eastAsia="方正黑体_GBK" w:cs="Times New Roman"/>
                <w:color w:val="000000"/>
                <w:sz w:val="24"/>
                <w:szCs w:val="24"/>
              </w:rPr>
            </w:pPr>
          </w:p>
        </w:tc>
        <w:tc>
          <w:tcPr>
            <w:tcW w:w="3116"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lastRenderedPageBreak/>
              <w:t>Points de révision</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3B2841" w:rsidRDefault="00147C51">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Détermination de la conformité</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lastRenderedPageBreak/>
              <w:t>Remarque</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r>
      <w:tr w:rsidR="003B2841">
        <w:trPr>
          <w:trHeight w:val="672"/>
        </w:trPr>
        <w:tc>
          <w:tcPr>
            <w:tcW w:w="13758" w:type="dxa"/>
            <w:gridSpan w:val="6"/>
            <w:noWrap/>
            <w:vAlign w:val="center"/>
          </w:tcPr>
          <w:p w:rsidR="003B2841" w:rsidRDefault="00147C51">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lastRenderedPageBreak/>
              <w:t>1. Informations de base de l'entreprise</w:t>
            </w:r>
          </w:p>
        </w:tc>
      </w:tr>
      <w:tr w:rsidR="003B2841">
        <w:trPr>
          <w:trHeight w:val="764"/>
        </w:trPr>
        <w:tc>
          <w:tcPr>
            <w:tcW w:w="1893" w:type="dxa"/>
            <w:noWrap/>
            <w:vAlign w:val="center"/>
          </w:tcPr>
          <w:p w:rsidR="003B2841" w:rsidRDefault="00147C51">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1.Situation de base</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Articles 5, 6, 7 </w:t>
            </w:r>
            <w:r>
              <w:rPr>
                <w:rFonts w:ascii="Times New Roman" w:eastAsia="方正仿宋_GBK" w:cs="Times New Roman" w:hint="eastAsia"/>
                <w:bCs/>
                <w:color w:val="000000"/>
                <w:sz w:val="24"/>
                <w:szCs w:val="24"/>
              </w:rPr>
              <w:t xml:space="preserve">et 8 </w:t>
            </w:r>
            <w:r>
              <w:rPr>
                <w:rFonts w:ascii="Times New Roman" w:eastAsia="方正仿宋_GBK" w:cs="Times New Roman"/>
                <w:bCs/>
                <w:color w:val="000000"/>
                <w:sz w:val="24"/>
                <w:szCs w:val="24"/>
              </w:rPr>
              <w:t xml:space="preserve">du "Règlement sur l'enregistrement et la gestion des entreprises de production à l'étranger de produits alimentaires importés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(Ordonnance n° 248 de l'Administration générale des douanes)</w:t>
            </w:r>
          </w:p>
          <w:p w:rsidR="003B2841" w:rsidRDefault="00147C51">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Mesures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concernant </w:t>
            </w:r>
            <w:r>
              <w:rPr>
                <w:rFonts w:ascii="Times New Roman" w:eastAsia="方正仿宋_GBK" w:cs="Times New Roman"/>
                <w:bCs/>
                <w:color w:val="000000"/>
                <w:sz w:val="24"/>
                <w:szCs w:val="24"/>
              </w:rPr>
              <w:t>la gestion de la sécurité sanitaire des produits alimentaires à l'importation et à l'exportation" (Ordonnance n° 249 de l'Administration générale des douanes).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"Normes nationales de sécurité alimentaire Spécifications générales d'hygiène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Protocole d'inspection et de </w:t>
            </w:r>
            <w:r>
              <w:rPr>
                <w:rFonts w:ascii="Times New Roman" w:eastAsia="方正仿宋_GBK" w:cs="Times New Roman"/>
                <w:bCs/>
                <w:color w:val="000000"/>
                <w:sz w:val="24"/>
                <w:szCs w:val="24"/>
              </w:rPr>
              <w:lastRenderedPageBreak/>
              <w:t xml:space="preserve">quarantaine pour </w:t>
            </w:r>
            <w:r>
              <w:rPr>
                <w:rFonts w:ascii="Times New Roman" w:eastAsia="方正仿宋_GBK" w:cs="Times New Roman" w:hint="eastAsia"/>
                <w:bCs/>
                <w:color w:val="000000"/>
                <w:sz w:val="24"/>
                <w:szCs w:val="24"/>
              </w:rPr>
              <w:t xml:space="preserve">les ovoproduits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Remplissez le « Formulaire de demande d'enregistrement des entreprises de 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Les entreprises doivent remplir les informations de manière véridique. Les informations de base doivent être cohérentes avec les informations soumises par les autorités compétentes du pays exportateur et avec les conditions réelles de production et de transformation.</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Les ressources humaines de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entreprise </w:t>
            </w:r>
            <w:r>
              <w:rPr>
                <w:rFonts w:ascii="Times New Roman" w:eastAsia="方正仿宋_GBK" w:cs="Times New Roman"/>
                <w:bCs/>
                <w:color w:val="000000"/>
                <w:sz w:val="24"/>
                <w:szCs w:val="24"/>
              </w:rPr>
              <w:t xml:space="preserve">doivent être en mesure de répondre aux exigences de l’entreprise en matière de production, de transformation </w:t>
            </w:r>
            <w:r>
              <w:rPr>
                <w:rFonts w:ascii="Times New Roman" w:eastAsia="方正仿宋_GBK" w:cs="Times New Roman" w:hint="eastAsia"/>
                <w:bCs/>
                <w:color w:val="000000"/>
                <w:sz w:val="24"/>
                <w:szCs w:val="24"/>
              </w:rPr>
              <w:t>et de contrôle de qualit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Les ovoproduits </w:t>
            </w:r>
            <w:r>
              <w:rPr>
                <w:rFonts w:ascii="Times New Roman" w:eastAsia="方正仿宋_GBK" w:cs="Times New Roman"/>
                <w:bCs/>
                <w:color w:val="000000"/>
                <w:sz w:val="24"/>
                <w:szCs w:val="24"/>
              </w:rPr>
              <w:t>à exporter vers la Chine doivent être conformes à la portée du produit spécifié dans le protocole.</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Emplacement de l'entreprise, disposition de l'atelier, installations et équipements</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Sélection de l'emplacement de l'entreprise</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Il ne devrait y avoir aucune source de pollution autour de la zone de l'usine</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w:t>
            </w:r>
            <w:r>
              <w:rPr>
                <w:rFonts w:ascii="Times New Roman" w:eastAsia="方正仿宋_GBK" w:cs="Times New Roman" w:hint="eastAsia"/>
                <w:bCs/>
                <w:color w:val="000000"/>
                <w:sz w:val="24"/>
                <w:szCs w:val="24"/>
              </w:rPr>
              <w:t xml:space="preserve">Environnement et </w:t>
            </w:r>
            <w:r>
              <w:rPr>
                <w:rFonts w:ascii="Times New Roman" w:eastAsia="方正仿宋_GBK" w:cs="Times New Roman"/>
                <w:bCs/>
                <w:color w:val="000000"/>
                <w:sz w:val="24"/>
                <w:szCs w:val="24"/>
              </w:rPr>
              <w:t>agencement de l'usine</w:t>
            </w:r>
          </w:p>
          <w:p w:rsidR="003B2841" w:rsidRDefault="003B2841">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Fournir un plan d'étage de la zone de l'usine. Le plan d'étage doit indiquer différentes zones fonctionnelles telles que </w:t>
            </w:r>
            <w:r>
              <w:rPr>
                <w:rFonts w:ascii="Times New Roman" w:eastAsia="方正仿宋_GBK" w:cs="Times New Roman" w:hint="eastAsia"/>
                <w:bCs/>
                <w:color w:val="000000"/>
                <w:sz w:val="24"/>
                <w:szCs w:val="24"/>
              </w:rPr>
              <w:t>la production et la transformation, le stockage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 </w:t>
            </w:r>
            <w:r>
              <w:rPr>
                <w:rFonts w:ascii="Times New Roman" w:eastAsia="方正仿宋_GBK" w:cs="Times New Roman" w:hint="eastAsia"/>
                <w:bCs/>
                <w:color w:val="000000"/>
                <w:sz w:val="24"/>
                <w:szCs w:val="24"/>
              </w:rPr>
              <w:lastRenderedPageBreak/>
              <w:t>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res/produits finis, </w:t>
            </w:r>
            <w:r>
              <w:rPr>
                <w:rFonts w:ascii="Times New Roman" w:eastAsia="方正仿宋_GBK" w:cs="Times New Roman"/>
                <w:bCs/>
                <w:color w:val="000000"/>
                <w:sz w:val="24"/>
                <w:szCs w:val="24"/>
              </w:rPr>
              <w:t xml:space="preserve">les salles de stockage de produits chimiques et les laboratoires (le cas échéant) </w:t>
            </w:r>
            <w:r>
              <w:rPr>
                <w:rFonts w:ascii="Times New Roman" w:eastAsia="方正仿宋_GBK" w:cs="Times New Roman" w:hint="eastAsia"/>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L'aménagement de la zone de l'usine répond aux besoins de production et de transformation. La zone de l'usine doit être divisée en zones de production et zones de non-production doit être évitée pendant le transport des matières premières, des déchets et de la livraison des </w:t>
            </w:r>
            <w:r>
              <w:rPr>
                <w:rFonts w:ascii="Times New Roman" w:eastAsia="方正仿宋_GBK" w:cs="Times New Roman"/>
                <w:bCs/>
                <w:sz w:val="24"/>
                <w:szCs w:val="24"/>
              </w:rPr>
              <w:lastRenderedPageBreak/>
              <w:t>produits finis.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2.3 Conception et aménagement de l'atelier</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Fournir un plan d'étage de l'atelier de production. Le plan d'étage de l'atelier doit clairement indiquer la gamme de zones propres et de zones non propres ; indiquer les zones fonctionnelles telles que les vestiaires du personnel, </w:t>
            </w:r>
            <w:r>
              <w:rPr>
                <w:rFonts w:ascii="Times New Roman" w:eastAsia="方正仿宋_GBK" w:cs="Times New Roman" w:hint="eastAsia"/>
                <w:bCs/>
                <w:color w:val="000000"/>
                <w:sz w:val="24"/>
                <w:szCs w:val="24"/>
              </w:rPr>
              <w:t xml:space="preserve">la production et la transformation, ainsi que </w:t>
            </w:r>
            <w:r>
              <w:rPr>
                <w:rFonts w:ascii="Times New Roman" w:eastAsia="方正仿宋_GBK" w:cs="Times New Roman"/>
                <w:bCs/>
                <w:color w:val="000000"/>
                <w:sz w:val="24"/>
                <w:szCs w:val="24"/>
              </w:rPr>
              <w:t>les salles de nettoyage et de désinfection des outils ; sens de circulation du personnel et des produits dans l'atelier</w:t>
            </w:r>
          </w:p>
        </w:tc>
        <w:tc>
          <w:tcPr>
            <w:tcW w:w="3116" w:type="dxa"/>
            <w:noWrap/>
            <w:vAlign w:val="center"/>
          </w:tcPr>
          <w:p w:rsidR="003B2841" w:rsidRDefault="00147C51">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 superficie et la hauteur de l'atelier doivent être compatibles avec la capacité de production et l'emplacement des équipements, et répondre aux exigences de flux de processus et d'hygiène de transformation des </w:t>
            </w:r>
            <w:r>
              <w:rPr>
                <w:rFonts w:ascii="Times New Roman" w:eastAsia="方正仿宋_GBK" w:cs="Times New Roman" w:hint="eastAsia"/>
                <w:bCs/>
                <w:color w:val="000000"/>
                <w:sz w:val="24"/>
                <w:szCs w:val="24"/>
              </w:rPr>
              <w:t>ovoproduits trait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xml:space="preserve"> ; </w:t>
            </w:r>
            <w:r>
              <w:rPr>
                <w:rFonts w:ascii="Times New Roman" w:eastAsia="方正仿宋_GBK" w:cs="Times New Roman" w:hint="eastAsia"/>
                <w:bCs/>
                <w:color w:val="000000"/>
                <w:sz w:val="24"/>
                <w:szCs w:val="24"/>
              </w:rPr>
              <w:t>le flux de personnes et la logistique ne doivent pas provoquer de contamination crois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2.4 </w:t>
            </w:r>
            <w:r>
              <w:rPr>
                <w:rFonts w:ascii="Times New Roman" w:eastAsia="方正仿宋_GBK" w:cs="Times New Roman" w:hint="eastAsia"/>
                <w:bCs/>
                <w:color w:val="000000"/>
                <w:sz w:val="24"/>
                <w:szCs w:val="24"/>
              </w:rPr>
              <w:t xml:space="preserve">Installations </w:t>
            </w:r>
            <w:r>
              <w:rPr>
                <w:rFonts w:ascii="Times New Roman" w:eastAsia="方正仿宋_GBK" w:cs="Times New Roman"/>
                <w:bCs/>
                <w:color w:val="000000"/>
                <w:sz w:val="24"/>
                <w:szCs w:val="24"/>
              </w:rPr>
              <w:t xml:space="preserve">et équipements </w:t>
            </w:r>
            <w:r>
              <w:rPr>
                <w:rFonts w:ascii="Times New Roman" w:eastAsia="方正仿宋_GBK" w:cs="Times New Roman" w:hint="eastAsia"/>
                <w:bCs/>
                <w:color w:val="000000"/>
                <w:sz w:val="24"/>
                <w:szCs w:val="24"/>
              </w:rPr>
              <w:t xml:space="preserve">de </w:t>
            </w:r>
            <w:r>
              <w:rPr>
                <w:rFonts w:ascii="Times New Roman" w:eastAsia="方正仿宋_GBK" w:cs="Times New Roman"/>
                <w:bCs/>
                <w:color w:val="000000"/>
                <w:sz w:val="24"/>
                <w:szCs w:val="24"/>
              </w:rPr>
              <w:t>production</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et 6.2 </w:t>
            </w:r>
            <w:r>
              <w:rPr>
                <w:rFonts w:ascii="Times New Roman" w:eastAsia="方正仿宋_GBK" w:cs="Times New Roman"/>
                <w:bCs/>
                <w:color w:val="000000"/>
                <w:sz w:val="24"/>
                <w:szCs w:val="24"/>
              </w:rPr>
              <w:t xml:space="preserve">dans "Normes nationales de sécurité alimentaire Spécifications générales d'hygiène </w:t>
            </w:r>
            <w:r>
              <w:rPr>
                <w:rFonts w:ascii="Times New Roman" w:eastAsia="方正仿宋_GBK" w:cs="Times New Roman" w:hint="eastAsia"/>
                <w:bCs/>
                <w:color w:val="000000"/>
                <w:sz w:val="24"/>
                <w:szCs w:val="24"/>
              </w:rPr>
              <w:t xml:space="preserve">pour la </w:t>
            </w:r>
            <w:r>
              <w:rPr>
                <w:rFonts w:ascii="Times New Roman" w:eastAsia="方正仿宋_GBK" w:cs="Times New Roman" w:hint="eastAsia"/>
                <w:bCs/>
                <w:color w:val="000000"/>
                <w:sz w:val="24"/>
                <w:szCs w:val="24"/>
              </w:rPr>
              <w:lastRenderedPageBreak/>
              <w:t xml:space="preserve">production alimentaire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2.4 Fournir une liste des principaux équipements et </w:t>
            </w:r>
            <w:r>
              <w:rPr>
                <w:rFonts w:ascii="Times New Roman" w:eastAsia="方正仿宋_GBK" w:cs="Times New Roman"/>
                <w:bCs/>
                <w:sz w:val="24"/>
                <w:szCs w:val="24"/>
              </w:rPr>
              <w:lastRenderedPageBreak/>
              <w:t>installations</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Les entreprises doivent être équipées d'équipements de production proportionnés à </w:t>
            </w:r>
            <w:r>
              <w:rPr>
                <w:rFonts w:ascii="Times New Roman" w:eastAsia="方正仿宋_GBK" w:cs="Times New Roman"/>
                <w:bCs/>
                <w:sz w:val="24"/>
                <w:szCs w:val="24"/>
              </w:rPr>
              <w:lastRenderedPageBreak/>
              <w:t>leur capacité de production</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□Ne répond </w:t>
            </w:r>
            <w:r>
              <w:rPr>
                <w:rFonts w:ascii="Times New Roman" w:eastAsia="方正仿宋_GBK" w:cs="Times New Roman"/>
                <w:bCs/>
                <w:color w:val="000000"/>
                <w:sz w:val="24"/>
                <w:szCs w:val="24"/>
              </w:rPr>
              <w:lastRenderedPageBreak/>
              <w:t>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Nettoyage et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sinfection des installations de production</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1. 5.1.3 </w:t>
            </w:r>
            <w:r>
              <w:rPr>
                <w:rFonts w:ascii="Times New Roman" w:eastAsia="方正仿宋_GBK" w:cs="Times New Roman"/>
                <w:bCs/>
                <w:color w:val="000000"/>
                <w:sz w:val="24"/>
                <w:szCs w:val="24"/>
              </w:rPr>
              <w:t xml:space="preserve">dans "Normes nationales de sécurité alimentaire Spécifications générales d'hygiène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4881 )</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de la norme nationale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 pour la production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(GB 21710)</w:t>
            </w: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2.5.1 Fournir un plan de nettoyage des installations de production, comprenant le personnel de nettoyage, les m</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thodes, l'heure, la fr</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quence et les ingr</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dients des agents de nettoyage.</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2.5.2 Fournir le dernier rapport de v</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rification de l'effet de nettoyage.</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2.5.3 Fournir la liste et la quantit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du mat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riel de nettoyage.</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1. Le plan de nettoyage de l</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entreprise doit garantir que les installations de production peuvent </w:t>
            </w:r>
            <w:r>
              <w:rPr>
                <w:rFonts w:ascii="Times New Roman" w:eastAsia="方正仿宋_GBK" w:cs="Times New Roman" w:hint="eastAsia"/>
                <w:bCs/>
                <w:sz w:val="24"/>
                <w:szCs w:val="24"/>
              </w:rPr>
              <w:t>ê</w:t>
            </w:r>
            <w:r>
              <w:rPr>
                <w:rFonts w:ascii="Times New Roman" w:eastAsia="方正仿宋_GBK" w:cs="Times New Roman" w:hint="eastAsia"/>
                <w:bCs/>
                <w:sz w:val="24"/>
                <w:szCs w:val="24"/>
              </w:rPr>
              <w:t>tre nettoy</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es en temps opportun et que les installations de nettoyage et de d</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sinfection ne provoqueront pas de contamination crois</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e.</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 Le rapport de v</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rification de l'effet de nettoyage doit garantir que les produits ult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rieurs ne seront pas contamin</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3. L</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quipement de nettoyage peut r</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pondre aux besoins de production.</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Installations d'entreposage</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10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lastRenderedPageBreak/>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2.6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crivez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vement les exigences de gestion des entrepôts de stockage </w:t>
            </w:r>
            <w:r>
              <w:rPr>
                <w:rFonts w:ascii="Times New Roman" w:eastAsia="方正仿宋_GBK" w:cs="Times New Roman" w:hint="eastAsia"/>
                <w:bCs/>
                <w:color w:val="000000"/>
                <w:sz w:val="24"/>
                <w:szCs w:val="24"/>
              </w:rPr>
              <w:lastRenderedPageBreak/>
              <w:t>de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et de produits finis, et fournissez des images pertinentes de l'entrepôt de stockage qui peuvent refl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ter la situation de stockage.</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Les entreprises doivent s'assurer que les ovoproduits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sont </w:t>
            </w:r>
            <w:r>
              <w:rPr>
                <w:rFonts w:ascii="Times New Roman" w:eastAsia="方正仿宋_GBK" w:cs="Times New Roman" w:hint="eastAsia"/>
                <w:bCs/>
                <w:color w:val="000000"/>
                <w:sz w:val="24"/>
                <w:szCs w:val="24"/>
              </w:rPr>
              <w:lastRenderedPageBreak/>
              <w:t xml:space="preserve">clairement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tiquet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des zones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ciales et que l'environnement de stockage et de transport est propre et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L'entrepôt de stockage des produits finis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maintenu propre, avec une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une 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constantes, et doit disposer d'installations anti-moisissure, anti-rats, anti-insectes et anti-mouches ainsi que d'installations de contrôle de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de l'humidit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pour la traçabilit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maintenus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une certaine distance des murs et des sols ; aucun article ne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autoris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dans l'entrepôt.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1"/>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3. </w:t>
            </w:r>
            <w:r>
              <w:rPr>
                <w:rFonts w:ascii="Times New Roman" w:eastAsia="方正楷体_GBK" w:cs="Times New Roman"/>
                <w:b/>
                <w:bCs/>
                <w:sz w:val="24"/>
                <w:szCs w:val="24"/>
              </w:rPr>
              <w:t>Alimentation en eau de traitement/glace/vapeur</w:t>
            </w: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Traitement de la qualité de l'eau de traitement (le cas échéant)</w:t>
            </w:r>
          </w:p>
          <w:p w:rsidR="003B2841" w:rsidRDefault="003B2841">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et </w:t>
            </w:r>
            <w:r>
              <w:rPr>
                <w:rFonts w:ascii="Times New Roman" w:eastAsia="方正仿宋_GBK" w:cs="Times New Roman" w:hint="eastAsia"/>
                <w:bCs/>
                <w:color w:val="000000"/>
                <w:sz w:val="24"/>
                <w:szCs w:val="24"/>
              </w:rPr>
              <w:t xml:space="preserve">5.1.2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 Normes d'hygiène pour l'eau potable » (GB 5749)</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S'il s'agit de la propre source d'eau de l'entreprise, veuillez décrire les mesures pertinentes pour le contrôle de la qualité de l'eau et fournir le dernier rapport d'essai de qualité de l'eau de production (le cas échéant)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L’eau utilisée pour la production et la transformation (y compris la vapeur) doit être conforme aux normes chinoises.</w:t>
            </w:r>
          </w:p>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 xml:space="preserve">Testez au moins une fois par an et les résultats des tests doivent être conformes aux normes de mon pays en matière d'eau de production et de traitement. Le laboratoire d'essais confié doit posséder les qualifications correspondantes reconnues ou approuvées </w:t>
            </w:r>
            <w:r>
              <w:rPr>
                <w:rFonts w:ascii="方正仿宋_GBK" w:eastAsia="方正仿宋_GBK" w:hint="eastAsia"/>
                <w:color w:val="000000"/>
                <w:sz w:val="24"/>
              </w:rPr>
              <w:lastRenderedPageBreak/>
              <w:t>par l'autorité locale compétente.</w:t>
            </w:r>
          </w:p>
          <w:p w:rsidR="003B2841" w:rsidRDefault="003B2841">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3.2 Approvisionnement en eau de traitement et eau auxiliaire (le cas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ch</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ant)</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et </w:t>
            </w:r>
            <w:r>
              <w:rPr>
                <w:rFonts w:ascii="Times New Roman" w:eastAsia="方正仿宋_GBK" w:cs="Times New Roman" w:hint="eastAsia"/>
                <w:bCs/>
                <w:color w:val="000000"/>
                <w:sz w:val="24"/>
                <w:szCs w:val="24"/>
              </w:rPr>
              <w:t xml:space="preserve">5.1.2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5.1.1 dans «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de la norme nationale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 pour la production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(GB 21710)</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3.2 Fournir l'eau de traitement de l'entreprise et un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me de gestion de l'eau auxiliaire</w:t>
            </w: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Des canalisations complètement indépendantes doivent être utilisées pour fournir de l'eau auxiliaire (telle que de l'eau de refroidissement, de l'eau de nettoyage des canalisations) et marquées (par exemple en utilisant des couleurs différentes). La canalisation d'eau auxiliaire et la canalisation d'eau de traitement ne doivent pas être interconnectées ou siphonnées.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w:t>
            </w:r>
            <w:r>
              <w:rPr>
                <w:rFonts w:ascii="Times New Roman" w:eastAsia="方正楷体_GBK" w:cs="Times New Roman"/>
                <w:b/>
                <w:bCs/>
                <w:sz w:val="24"/>
                <w:szCs w:val="24"/>
              </w:rPr>
              <w:t>Matières premières et matériaux d'emballage</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Zones d'origine et fermes d'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crus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numPr>
                <w:ilvl w:val="0"/>
                <w:numId w:val="1"/>
              </w:num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Protocole d'inspection et de quarantaine pour </w:t>
            </w:r>
            <w:r>
              <w:rPr>
                <w:rFonts w:ascii="Times New Roman" w:eastAsia="方正仿宋_GBK" w:cs="Times New Roman" w:hint="eastAsia"/>
                <w:bCs/>
                <w:color w:val="000000"/>
                <w:sz w:val="24"/>
                <w:szCs w:val="24"/>
              </w:rPr>
              <w:t xml:space="preserve">les ovoproduits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3B2841" w:rsidRDefault="003B2841">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un tableau d'information sur les pays/provinces/régions d'où proviennent les œufs crus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Il convient d'indiquer si l'entreprise </w:t>
            </w:r>
            <w:r>
              <w:rPr>
                <w:rFonts w:ascii="Times New Roman" w:eastAsia="方正仿宋_GBK" w:cs="Times New Roman" w:hint="eastAsia"/>
                <w:bCs/>
                <w:color w:val="000000"/>
                <w:sz w:val="24"/>
                <w:szCs w:val="24"/>
              </w:rPr>
              <w:t xml:space="preserve">est </w:t>
            </w:r>
            <w:r>
              <w:rPr>
                <w:rFonts w:ascii="Times New Roman" w:eastAsia="方正仿宋_GBK" w:cs="Times New Roman"/>
                <w:bCs/>
                <w:color w:val="000000"/>
                <w:sz w:val="24"/>
                <w:szCs w:val="24"/>
              </w:rPr>
              <w:t xml:space="preserve">sa propre ferme d'élevage ou une ferme d'élevage </w:t>
            </w:r>
            <w:r>
              <w:rPr>
                <w:rFonts w:ascii="Times New Roman" w:eastAsia="方正仿宋_GBK" w:cs="Times New Roman" w:hint="eastAsia"/>
                <w:bCs/>
                <w:color w:val="000000"/>
                <w:sz w:val="24"/>
                <w:szCs w:val="24"/>
              </w:rPr>
              <w:t>coop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rative </w:t>
            </w:r>
            <w:r>
              <w:rPr>
                <w:rFonts w:ascii="Times New Roman" w:eastAsia="方正仿宋_GBK" w:cs="Times New Roman"/>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entreprises doivent prendre des mesures efficaces pour distinguer et garantir que </w:t>
            </w:r>
            <w:r>
              <w:rPr>
                <w:rFonts w:ascii="Times New Roman" w:eastAsia="方正仿宋_GBK" w:cs="Times New Roman" w:hint="eastAsia"/>
                <w:bCs/>
                <w:color w:val="000000"/>
                <w:sz w:val="24"/>
                <w:szCs w:val="24"/>
              </w:rPr>
              <w:t xml:space="preserve">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crus destin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aux ovoproduits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w:t>
            </w:r>
            <w:r>
              <w:rPr>
                <w:rFonts w:ascii="Times New Roman" w:eastAsia="方正仿宋_GBK" w:cs="Times New Roman"/>
                <w:bCs/>
                <w:color w:val="000000"/>
                <w:sz w:val="24"/>
                <w:szCs w:val="24"/>
              </w:rPr>
              <w:t xml:space="preserve">proviennent de pays ou de régions spécifiés dans le protocole (ou de provinces/régions spécifiques clairement spécifiées dans le protocole) et que les œufs frais proviennent de </w:t>
            </w:r>
            <w:r>
              <w:rPr>
                <w:rFonts w:ascii="Times New Roman" w:eastAsia="方正仿宋_GBK" w:cs="Times New Roman" w:hint="eastAsia"/>
                <w:bCs/>
                <w:color w:val="000000"/>
                <w:sz w:val="24"/>
                <w:szCs w:val="24"/>
              </w:rPr>
              <w:t xml:space="preserve">zones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pid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miques ou </w:t>
            </w:r>
            <w:r>
              <w:rPr>
                <w:rFonts w:ascii="Times New Roman" w:eastAsia="方正仿宋_GBK" w:cs="Times New Roman"/>
                <w:bCs/>
                <w:color w:val="000000"/>
                <w:sz w:val="24"/>
                <w:szCs w:val="24"/>
              </w:rPr>
              <w:t xml:space="preserve">de pays étrangers. ne peut pas être acheté </w:t>
            </w:r>
            <w:r>
              <w:rPr>
                <w:rFonts w:ascii="Times New Roman" w:eastAsia="方正仿宋_GBK" w:cs="Times New Roman" w:hint="eastAsia"/>
                <w:bCs/>
                <w:color w:val="000000"/>
                <w:sz w:val="24"/>
                <w:szCs w:val="24"/>
              </w:rPr>
              <w:t>.</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rPr>
                <w:rFonts w:ascii="Times New Roman" w:eastAsia="方正仿宋_GBK" w:cs="Times New Roman"/>
                <w:color w:val="000000"/>
                <w:kern w:val="0"/>
                <w:sz w:val="20"/>
                <w:szCs w:val="20"/>
              </w:rPr>
            </w:pPr>
          </w:p>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4.2 </w:t>
            </w:r>
            <w:r>
              <w:rPr>
                <w:rFonts w:ascii="Times New Roman" w:eastAsia="方正仿宋_GBK" w:cs="Times New Roman"/>
                <w:color w:val="000000"/>
                <w:kern w:val="0"/>
                <w:sz w:val="24"/>
                <w:szCs w:val="24"/>
              </w:rPr>
              <w:t>Acceptation des matières premières</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Protocole d'inspection et de quarantaine pour </w:t>
            </w:r>
            <w:r>
              <w:rPr>
                <w:rFonts w:ascii="Times New Roman" w:eastAsia="方正仿宋_GBK" w:cs="Times New Roman" w:hint="eastAsia"/>
                <w:bCs/>
                <w:color w:val="000000"/>
                <w:sz w:val="24"/>
                <w:szCs w:val="24"/>
              </w:rPr>
              <w:t xml:space="preserve">les ovoproduits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et 7.2 </w:t>
            </w:r>
            <w:r>
              <w:rPr>
                <w:rFonts w:ascii="Times New Roman" w:eastAsia="方正仿宋_GBK" w:cs="Times New Roman"/>
                <w:bCs/>
                <w:color w:val="000000"/>
                <w:sz w:val="24"/>
                <w:szCs w:val="24"/>
              </w:rPr>
              <w:t xml:space="preserve">dans « Normes nationales de sécurité alimentaire Spécifications </w:t>
            </w:r>
            <w:r>
              <w:rPr>
                <w:rFonts w:ascii="Times New Roman" w:eastAsia="方正仿宋_GBK" w:cs="Times New Roman"/>
                <w:bCs/>
                <w:color w:val="000000"/>
                <w:sz w:val="24"/>
                <w:szCs w:val="24"/>
              </w:rPr>
              <w:lastRenderedPageBreak/>
              <w:t xml:space="preserve">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4. </w:t>
            </w:r>
            <w:r>
              <w:rPr>
                <w:rFonts w:ascii="Times New Roman" w:eastAsia="方正仿宋_GBK" w:cs="Times New Roman" w:hint="eastAsia"/>
                <w:color w:val="000000"/>
                <w:kern w:val="0"/>
                <w:sz w:val="24"/>
                <w:szCs w:val="24"/>
              </w:rPr>
              <w:t xml:space="preserve">2.1 Fournir les exigences </w:t>
            </w:r>
            <w:r>
              <w:rPr>
                <w:rFonts w:ascii="Times New Roman" w:eastAsia="方正仿宋_GBK" w:cs="Times New Roman"/>
                <w:color w:val="000000"/>
                <w:kern w:val="0"/>
                <w:sz w:val="24"/>
                <w:szCs w:val="24"/>
              </w:rPr>
              <w:t xml:space="preserve">de gestion de l'entreprise </w:t>
            </w:r>
            <w:r>
              <w:rPr>
                <w:rFonts w:ascii="Times New Roman" w:eastAsia="方正仿宋_GBK" w:cs="Times New Roman" w:hint="eastAsia"/>
                <w:color w:val="000000"/>
                <w:kern w:val="0"/>
                <w:sz w:val="24"/>
                <w:szCs w:val="24"/>
              </w:rPr>
              <w:t>pour les fournisseurs d'</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ufs crus.</w:t>
            </w:r>
          </w:p>
          <w:p w:rsidR="003B2841" w:rsidRDefault="00147C51">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 xml:space="preserve">4.2.2 Fournir un système d'acceptation des matières </w:t>
            </w:r>
            <w:r>
              <w:rPr>
                <w:rFonts w:ascii="Times New Roman" w:eastAsia="方正仿宋_GBK" w:cs="Times New Roman"/>
                <w:color w:val="000000"/>
                <w:kern w:val="0"/>
                <w:sz w:val="24"/>
                <w:szCs w:val="24"/>
              </w:rPr>
              <w:lastRenderedPageBreak/>
              <w:t xml:space="preserve">premières </w:t>
            </w:r>
            <w:r>
              <w:rPr>
                <w:rFonts w:ascii="Times New Roman" w:eastAsia="方正仿宋_GBK" w:cs="Times New Roman" w:hint="eastAsia"/>
                <w:color w:val="000000"/>
                <w:kern w:val="0"/>
                <w:sz w:val="24"/>
                <w:szCs w:val="24"/>
              </w:rPr>
              <w:t>.</w:t>
            </w:r>
          </w:p>
        </w:tc>
        <w:tc>
          <w:tcPr>
            <w:tcW w:w="3116" w:type="dxa"/>
            <w:noWrap/>
            <w:vAlign w:val="center"/>
          </w:tcPr>
          <w:p w:rsidR="003B2841" w:rsidRDefault="00147C51">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crus utilis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la production d</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ovoproduits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sûrs,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et adapt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consommation humaine.</w:t>
            </w:r>
          </w:p>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lastRenderedPageBreak/>
              <w:t>2. Respecter les dispositions des lois,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glementations et protocoles bilat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raux de notre pays.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4.3 Contrôle des additifs alimentaires (le cas échéant)</w:t>
            </w:r>
          </w:p>
        </w:tc>
        <w:tc>
          <w:tcPr>
            <w:tcW w:w="3525" w:type="dxa"/>
            <w:noWrap/>
            <w:vAlign w:val="center"/>
          </w:tcPr>
          <w:p w:rsidR="003B2841" w:rsidRDefault="00147C51">
            <w:pPr>
              <w:pStyle w:val="60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7.3 et 8.3.1 dans « Normes nationales de sécurité alimentaire Spécifications générales d'hygiène pour la production alimentaire » (GB 14881)</w:t>
            </w:r>
          </w:p>
          <w:p w:rsidR="003B2841" w:rsidRDefault="00147C51">
            <w:pPr>
              <w:pStyle w:val="6010"/>
              <w:spacing w:line="0" w:lineRule="atLeast"/>
              <w:jc w:val="left"/>
              <w:rPr>
                <w:rFonts w:ascii="Times New Roman" w:eastAsia="方正仿宋_GBK" w:cs="Times New Roman"/>
                <w:bCs/>
                <w:color w:val="000000"/>
                <w:sz w:val="24"/>
                <w:szCs w:val="24"/>
              </w:rPr>
            </w:pPr>
            <w:r>
              <w:rPr>
                <w:rFonts w:ascii="Times New Roman" w:eastAsia="方正仿宋_GBK" w:cs="Times New Roman"/>
                <w:bCs/>
                <w:sz w:val="24"/>
                <w:szCs w:val="24"/>
              </w:rPr>
              <w:t>2. « Normes nationales de sécurité alimentaire pour l'utilisation d'additifs alimentaires » (GB 2760-2014)</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t>4.3 Soumettre une liste de tous les additifs alimentaires utilisés dans le produit ainsi que l'utilisation maximale et les quantités résiduelles des principaux additifs alimentaires, et les énumérer du plus au moins.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Les entreprises doivent établir des procédures de contrôle des additifs alimentaires. Le champ d'application, le dosage et les quantités résiduelles des additifs alimentaires doivent être conformes aux exigences des normes nationales de sécurité alimentaire pour l'utilisation des additifs alimentaires (GB2760).</w:t>
            </w:r>
          </w:p>
        </w:tc>
        <w:tc>
          <w:tcPr>
            <w:tcW w:w="1478" w:type="dxa"/>
            <w:noWrap/>
            <w:vAlign w:val="center"/>
          </w:tcPr>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à</w:t>
            </w:r>
          </w:p>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□Sans objet</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4.4 Acceptation des matériaux d'emballage internes et externes</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 xml:space="preserve">7.4 </w:t>
            </w:r>
            <w:r>
              <w:rPr>
                <w:rFonts w:ascii="Times New Roman" w:eastAsia="方正仿宋_GBK" w:cs="Times New Roman"/>
                <w:bCs/>
                <w:sz w:val="24"/>
                <w:szCs w:val="24"/>
              </w:rPr>
              <w:t>dans « Normes nationales de sécurité alimentaire Spécifications générales d'hygiène pour la production alimentaire » (GB 14881)</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t xml:space="preserve">4.4 Fournir des matériaux de certification </w:t>
            </w:r>
            <w:r>
              <w:rPr>
                <w:rFonts w:ascii="Times New Roman" w:eastAsia="方正仿宋_GBK" w:cs="Times New Roman" w:hint="eastAsia"/>
                <w:bCs/>
                <w:sz w:val="24"/>
                <w:szCs w:val="24"/>
              </w:rPr>
              <w:t>de s</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curit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pour les mat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riaux d'emballage internes et externes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Les matériaux d'emballage ne doivent pas contenir de substances toxiques ou nocives et ne doivent pas modifier les caractéristiques sensorielles des </w:t>
            </w:r>
            <w:r>
              <w:rPr>
                <w:rFonts w:ascii="Times New Roman" w:eastAsia="方正仿宋_GBK" w:cs="Times New Roman" w:hint="eastAsia"/>
                <w:bCs/>
                <w:sz w:val="24"/>
                <w:szCs w:val="24"/>
              </w:rPr>
              <w:t>ovoproduits.</w:t>
            </w:r>
          </w:p>
        </w:tc>
        <w:tc>
          <w:tcPr>
            <w:tcW w:w="1478" w:type="dxa"/>
            <w:noWrap/>
            <w:vAlign w:val="center"/>
          </w:tcPr>
          <w:p w:rsidR="003B2841" w:rsidRDefault="00147C51">
            <w:pPr>
              <w:pStyle w:val="621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 xml:space="preserve">5. </w:t>
            </w:r>
            <w:r>
              <w:rPr>
                <w:rFonts w:ascii="Times New Roman" w:eastAsia="方正楷体_GBK" w:cs="Times New Roman" w:hint="eastAsia"/>
                <w:b/>
                <w:bCs/>
                <w:color w:val="000000"/>
                <w:sz w:val="24"/>
                <w:szCs w:val="24"/>
              </w:rPr>
              <w:t>Contrôle des processus</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5.1 </w:t>
            </w:r>
            <w:r>
              <w:rPr>
                <w:rFonts w:ascii="Times New Roman" w:eastAsia="方正仿宋_GBK" w:cs="Times New Roman" w:hint="eastAsia"/>
                <w:bCs/>
                <w:sz w:val="24"/>
                <w:szCs w:val="24"/>
              </w:rPr>
              <w:t xml:space="preserve">Mise </w:t>
            </w:r>
            <w:r>
              <w:rPr>
                <w:rFonts w:ascii="Times New Roman" w:eastAsia="方正仿宋_GBK" w:cs="Times New Roman"/>
                <w:bCs/>
                <w:sz w:val="24"/>
                <w:szCs w:val="24"/>
              </w:rPr>
              <w:t>en place et fonctionnement du système HACCP</w:t>
            </w:r>
          </w:p>
        </w:tc>
        <w:tc>
          <w:tcPr>
            <w:tcW w:w="3525" w:type="dxa"/>
            <w:noWrap/>
            <w:vAlign w:val="center"/>
          </w:tcPr>
          <w:p w:rsidR="003B2841" w:rsidRDefault="00147C51">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13.2 et 13.3 dans « Normes nationales de sécurité alimentaire, Spécifications générales d'hygiène pour la production alimentaire » (GB 14881)</w:t>
            </w:r>
          </w:p>
          <w:p w:rsidR="003B2841" w:rsidRDefault="00147C51">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 Exigences générales pour les entreprises de production alimentaire dans le cadre du système d'analyse des risques et de maîtrise des points critiques (HACCP) »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Fournir des organigrammes de production et de transformation, des feuilles de travail d'analyse des dangers et des plans HACCP pour tous les produits destinés à être exportés vers la Chine.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5.1.2 Fournir des exemples de formulaires d'enregistrement de surveillance des points CCP, d'enregistrement de correction et d'enregistrement de vérification.</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plan HACCP doit analyser et contrôler efficacement les risques biologiques, physiques et chimiques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 processus de production doit être raisonnable pour éviter la contamination croisée.</w:t>
            </w:r>
          </w:p>
          <w:p w:rsidR="003B2841" w:rsidRDefault="00147C51">
            <w:pPr>
              <w:pStyle w:val="49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La définition des points CCP doit être scientifique et réalisable, et les mesures correctives et de vérification doivent être appropriées.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Le plan HACCP doit inclure tous les produits destinés à être exportés vers la Chine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 xml:space="preserve">5. </w:t>
            </w:r>
            <w:r>
              <w:rPr>
                <w:rFonts w:ascii="Times New Roman" w:eastAsia="方正仿宋_GBK" w:cs="Times New Roman"/>
                <w:sz w:val="24"/>
                <w:szCs w:val="24"/>
              </w:rPr>
              <w:t xml:space="preserve">Se conformer aux exigences des </w:t>
            </w:r>
            <w:r>
              <w:rPr>
                <w:rFonts w:ascii="Times New Roman" w:eastAsia="方正仿宋_GBK" w:cs="Times New Roman" w:hint="eastAsia"/>
                <w:sz w:val="24"/>
                <w:szCs w:val="24"/>
              </w:rPr>
              <w:t>normes et protocoles nationaux de s</w:t>
            </w:r>
            <w:r>
              <w:rPr>
                <w:rFonts w:ascii="Times New Roman" w:eastAsia="方正仿宋_GBK" w:cs="Times New Roman" w:hint="eastAsia"/>
                <w:sz w:val="24"/>
                <w:szCs w:val="24"/>
              </w:rPr>
              <w:t>é</w:t>
            </w:r>
            <w:r>
              <w:rPr>
                <w:rFonts w:ascii="Times New Roman" w:eastAsia="方正仿宋_GBK" w:cs="Times New Roman" w:hint="eastAsia"/>
                <w:sz w:val="24"/>
                <w:szCs w:val="24"/>
              </w:rPr>
              <w:t>curit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alimentaire de la Chine </w:t>
            </w:r>
            <w:r>
              <w:rPr>
                <w:rFonts w:ascii="Times New Roman" w:eastAsia="方正仿宋_GBK" w:cs="Times New Roman"/>
                <w:sz w:val="24"/>
                <w:szCs w:val="24"/>
              </w:rPr>
              <w:t>.</w:t>
            </w:r>
          </w:p>
        </w:tc>
        <w:tc>
          <w:tcPr>
            <w:tcW w:w="1478" w:type="dxa"/>
            <w:noWrap/>
            <w:vAlign w:val="center"/>
          </w:tcPr>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à</w:t>
            </w:r>
          </w:p>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5.2 </w:t>
            </w:r>
            <w:r>
              <w:rPr>
                <w:rFonts w:ascii="Times New Roman" w:eastAsia="方正仿宋_GBK" w:cs="Times New Roman" w:hint="eastAsia"/>
                <w:bCs/>
                <w:sz w:val="24"/>
                <w:szCs w:val="24"/>
              </w:rPr>
              <w:t>Param</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 xml:space="preserve">tres </w:t>
            </w:r>
            <w:r>
              <w:rPr>
                <w:rFonts w:ascii="Times New Roman" w:eastAsia="方正仿宋_GBK" w:cs="Times New Roman"/>
                <w:sz w:val="24"/>
                <w:szCs w:val="24"/>
              </w:rPr>
              <w:t>de chauffage des produits traités thermiquement (le cas échéant)</w:t>
            </w:r>
          </w:p>
        </w:tc>
        <w:tc>
          <w:tcPr>
            <w:tcW w:w="3525" w:type="dxa"/>
            <w:noWrap/>
            <w:vAlign w:val="center"/>
          </w:tcPr>
          <w:p w:rsidR="003B2841" w:rsidRDefault="00147C51">
            <w:pPr>
              <w:pStyle w:val="45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w:t>
            </w:r>
            <w:r>
              <w:rPr>
                <w:rFonts w:ascii="Times New Roman" w:eastAsia="方正仿宋_GBK" w:cs="Times New Roman" w:hint="eastAsia"/>
                <w:bCs/>
                <w:sz w:val="24"/>
                <w:szCs w:val="24"/>
              </w:rPr>
              <w:t> Sp</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cifications hygi</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niques de la norme nationale de s</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curit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alimentaire pour la production d'</w:t>
            </w:r>
            <w:r>
              <w:rPr>
                <w:rFonts w:ascii="Times New Roman" w:eastAsia="方正仿宋_GBK" w:cs="Times New Roman" w:hint="eastAsia"/>
                <w:bCs/>
                <w:sz w:val="24"/>
                <w:szCs w:val="24"/>
              </w:rPr>
              <w:t>œ</w:t>
            </w:r>
            <w:r>
              <w:rPr>
                <w:rFonts w:ascii="Times New Roman" w:eastAsia="方正仿宋_GBK" w:cs="Times New Roman" w:hint="eastAsia"/>
                <w:bCs/>
                <w:sz w:val="24"/>
                <w:szCs w:val="24"/>
              </w:rPr>
              <w:t xml:space="preserve">ufs et de produits </w:t>
            </w:r>
            <w:r>
              <w:rPr>
                <w:rFonts w:ascii="Times New Roman" w:eastAsia="方正仿宋_GBK" w:cs="Times New Roman" w:hint="eastAsia"/>
                <w:bCs/>
                <w:sz w:val="24"/>
                <w:szCs w:val="24"/>
              </w:rPr>
              <w:t>à</w:t>
            </w:r>
            <w:r>
              <w:rPr>
                <w:rFonts w:ascii="Times New Roman" w:eastAsia="方正仿宋_GBK" w:cs="Times New Roman" w:hint="eastAsia"/>
                <w:bCs/>
                <w:sz w:val="24"/>
                <w:szCs w:val="24"/>
              </w:rPr>
              <w:t xml:space="preserve"> base d'</w:t>
            </w:r>
            <w:r>
              <w:rPr>
                <w:rFonts w:ascii="Times New Roman" w:eastAsia="方正仿宋_GBK" w:cs="Times New Roman" w:hint="eastAsia"/>
                <w:bCs/>
                <w:sz w:val="24"/>
                <w:szCs w:val="24"/>
              </w:rPr>
              <w:t>œ</w:t>
            </w:r>
            <w:r>
              <w:rPr>
                <w:rFonts w:ascii="Times New Roman" w:eastAsia="方正仿宋_GBK" w:cs="Times New Roman" w:hint="eastAsia"/>
                <w:bCs/>
                <w:sz w:val="24"/>
                <w:szCs w:val="24"/>
              </w:rPr>
              <w:lastRenderedPageBreak/>
              <w:t>ufs</w:t>
            </w:r>
            <w:r>
              <w:rPr>
                <w:rFonts w:ascii="Times New Roman" w:eastAsia="方正仿宋_GBK" w:cs="Times New Roman"/>
                <w:bCs/>
                <w:sz w:val="24"/>
                <w:szCs w:val="24"/>
              </w:rPr>
              <w:t xml:space="preserve"> » (GB </w:t>
            </w:r>
            <w:r>
              <w:rPr>
                <w:rFonts w:ascii="Times New Roman" w:eastAsia="方正仿宋_GBK" w:cs="Times New Roman" w:hint="eastAsia"/>
                <w:bCs/>
                <w:sz w:val="24"/>
                <w:szCs w:val="24"/>
              </w:rPr>
              <w:t xml:space="preserve">21710 </w:t>
            </w:r>
            <w:r>
              <w:rPr>
                <w:rFonts w:ascii="Times New Roman" w:eastAsia="方正仿宋_GBK" w:cs="Times New Roman"/>
                <w:bCs/>
                <w:sz w:val="24"/>
                <w:szCs w:val="24"/>
              </w:rPr>
              <w:t>)</w:t>
            </w:r>
          </w:p>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Exigences relatives aux paramètres de traitement thermique stipulées dans le protocole d'inspection et de quarantaine pour </w:t>
            </w:r>
            <w:r>
              <w:rPr>
                <w:rFonts w:ascii="Times New Roman" w:eastAsia="方正仿宋_GBK" w:cs="Times New Roman" w:hint="eastAsia"/>
                <w:bCs/>
                <w:sz w:val="24"/>
                <w:szCs w:val="24"/>
              </w:rPr>
              <w:t xml:space="preserve">les ovoproduits </w:t>
            </w:r>
            <w:r>
              <w:rPr>
                <w:rFonts w:ascii="Times New Roman" w:eastAsia="方正仿宋_GBK" w:cs="Times New Roman"/>
                <w:bCs/>
                <w:sz w:val="24"/>
                <w:szCs w:val="24"/>
              </w:rPr>
              <w:t>exportés vers la Chine, signé entre l'autorité compétente du pays demandeur et l'Administration générale des douanes.</w:t>
            </w:r>
          </w:p>
        </w:tc>
        <w:tc>
          <w:tcPr>
            <w:tcW w:w="2494" w:type="dxa"/>
            <w:noWrap/>
            <w:vAlign w:val="center"/>
          </w:tcPr>
          <w:p w:rsidR="003B2841" w:rsidRDefault="00147C51">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lastRenderedPageBreak/>
              <w:t xml:space="preserve">des exemples de paramètres de chauffage et de courbes temps-température de chauffage pour tous </w:t>
            </w:r>
            <w:r>
              <w:rPr>
                <w:rFonts w:ascii="Times New Roman" w:eastAsia="方正仿宋_GBK" w:cs="Times New Roman" w:hint="eastAsia"/>
                <w:sz w:val="24"/>
                <w:szCs w:val="24"/>
              </w:rPr>
              <w:t xml:space="preserve">les </w:t>
            </w:r>
            <w:r>
              <w:rPr>
                <w:rFonts w:ascii="Times New Roman" w:eastAsia="方正仿宋_GBK" w:cs="Times New Roman" w:hint="eastAsia"/>
                <w:sz w:val="24"/>
                <w:szCs w:val="24"/>
              </w:rPr>
              <w:lastRenderedPageBreak/>
              <w:t xml:space="preserve">ovoproduits </w:t>
            </w:r>
            <w:r>
              <w:rPr>
                <w:rFonts w:ascii="Times New Roman" w:eastAsia="方正仿宋_GBK" w:cs="Times New Roman"/>
                <w:sz w:val="24"/>
                <w:szCs w:val="24"/>
              </w:rPr>
              <w:t xml:space="preserve">traités thermiquement </w:t>
            </w:r>
            <w:r>
              <w:rPr>
                <w:rFonts w:ascii="Times New Roman" w:eastAsia="方正仿宋_GBK" w:cs="Times New Roman"/>
                <w:bCs/>
                <w:sz w:val="24"/>
                <w:szCs w:val="24"/>
              </w:rPr>
              <w:t>destinés à être exportés vers la Chine.</w:t>
            </w:r>
          </w:p>
        </w:tc>
        <w:tc>
          <w:tcPr>
            <w:tcW w:w="3116" w:type="dxa"/>
            <w:noWrap/>
            <w:vAlign w:val="center"/>
          </w:tcPr>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Le processus de production et les paramètres des produits traités thermiquement doivent être conformes aux exigences des </w:t>
            </w:r>
            <w:r>
              <w:rPr>
                <w:rFonts w:ascii="Times New Roman" w:eastAsia="方正仿宋_GBK" w:cs="Times New Roman" w:hint="eastAsia"/>
                <w:sz w:val="24"/>
                <w:szCs w:val="24"/>
              </w:rPr>
              <w:t xml:space="preserve">normes et protocoles </w:t>
            </w:r>
            <w:r>
              <w:rPr>
                <w:rFonts w:ascii="Times New Roman" w:eastAsia="方正仿宋_GBK" w:cs="Times New Roman" w:hint="eastAsia"/>
                <w:sz w:val="24"/>
                <w:szCs w:val="24"/>
              </w:rPr>
              <w:lastRenderedPageBreak/>
              <w:t>nationaux de s</w:t>
            </w:r>
            <w:r>
              <w:rPr>
                <w:rFonts w:ascii="Times New Roman" w:eastAsia="方正仿宋_GBK" w:cs="Times New Roman" w:hint="eastAsia"/>
                <w:sz w:val="24"/>
                <w:szCs w:val="24"/>
              </w:rPr>
              <w:t>é</w:t>
            </w:r>
            <w:r>
              <w:rPr>
                <w:rFonts w:ascii="Times New Roman" w:eastAsia="方正仿宋_GBK" w:cs="Times New Roman" w:hint="eastAsia"/>
                <w:sz w:val="24"/>
                <w:szCs w:val="24"/>
              </w:rPr>
              <w:t>curit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alimentaire de la Chine </w:t>
            </w:r>
            <w:r>
              <w:rPr>
                <w:rFonts w:ascii="Times New Roman" w:eastAsia="方正仿宋_GBK" w:cs="Times New Roman"/>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□Sans objet</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5.3 </w:t>
            </w:r>
            <w:r>
              <w:rPr>
                <w:rFonts w:ascii="Times New Roman" w:eastAsia="方正仿宋_GBK" w:cs="Times New Roman" w:hint="eastAsia"/>
                <w:bCs/>
                <w:sz w:val="24"/>
                <w:szCs w:val="24"/>
              </w:rPr>
              <w:t xml:space="preserve">Auto </w:t>
            </w:r>
            <w:r>
              <w:rPr>
                <w:rFonts w:ascii="Times New Roman" w:eastAsia="方正仿宋_GBK" w:cs="Times New Roman"/>
                <w:bCs/>
                <w:sz w:val="24"/>
                <w:szCs w:val="24"/>
              </w:rPr>
              <w:t>-inspection et maîtrise de soi</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Annexe A des « Normes générales d'hygiène pour les entreprises de production alimentaire » (GB14881)</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Exigences en matière de tests microbiens stipulées dans le protocole d'inspection et de quarantaine pour </w:t>
            </w:r>
            <w:r>
              <w:rPr>
                <w:rFonts w:ascii="Times New Roman" w:eastAsia="方正仿宋_GBK" w:cs="Times New Roman" w:hint="eastAsia"/>
                <w:bCs/>
                <w:sz w:val="24"/>
                <w:szCs w:val="24"/>
              </w:rPr>
              <w:t xml:space="preserve">les ovoproduits </w:t>
            </w:r>
            <w:r>
              <w:rPr>
                <w:rFonts w:ascii="Times New Roman" w:eastAsia="方正仿宋_GBK" w:cs="Times New Roman"/>
                <w:bCs/>
                <w:sz w:val="24"/>
                <w:szCs w:val="24"/>
              </w:rPr>
              <w:t>exportés vers la Chine, signé entre l'autorité compétente du pays demandeur et l'Administration générale des douanes.</w:t>
            </w:r>
          </w:p>
        </w:tc>
        <w:tc>
          <w:tcPr>
            <w:tcW w:w="2494" w:type="dxa"/>
            <w:noWrap/>
            <w:vAlign w:val="center"/>
          </w:tcPr>
          <w:p w:rsidR="003B2841" w:rsidRDefault="00147C51">
            <w:pPr>
              <w:pStyle w:val="28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les ovoproduits </w:t>
            </w:r>
            <w:r>
              <w:rPr>
                <w:rFonts w:ascii="Times New Roman" w:eastAsia="方正仿宋_GBK" w:cs="Times New Roman"/>
                <w:bCs/>
                <w:sz w:val="24"/>
                <w:szCs w:val="24"/>
              </w:rPr>
              <w:t>destinés à être exportés vers la Chine . Le plan doit énumérer les éléments de surveillance, la fréquence, les normes de jugement, les mesures de traitement non qualifiées, etc.</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Fournir des rapports d'analyse sur les résultats de la surveillance microbienne au cours des six derniers mois ;</w:t>
            </w:r>
          </w:p>
          <w:p w:rsidR="003B2841" w:rsidRDefault="00147C51">
            <w:pPr>
              <w:pStyle w:val="1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5.3.3 Si l'entreprise dispose de son propre laboratoire, elle doit </w:t>
            </w:r>
            <w:r>
              <w:rPr>
                <w:rFonts w:ascii="Times New Roman" w:eastAsia="方正仿宋_GBK" w:cs="Times New Roman"/>
                <w:bCs/>
                <w:sz w:val="24"/>
                <w:szCs w:val="24"/>
              </w:rPr>
              <w:lastRenderedPageBreak/>
              <w:t>soumettre le certificat de capacité et de qualification du laboratoire d'entreprise ; si l'entreprise confie un laboratoire tiers , elle doit fournir les qualifications du laboratoire confié ;</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Les entreprises doivent établir un plan d'auto-inspection et d'autocontrôle. Les normes d'échantillonnage, d'essai et de jugement pour les tests de matières premières et de produits doivent être conformes aux exigences chinoises pour garantir la sécurité et l'hygiène des produits.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Les entreprises devraient effectuer une surveillance microbienne sur les surfaces en contact avec les aliments et les matériaux d'emballage lors du processus d'emballage des produits prêts à </w:t>
            </w:r>
            <w:r>
              <w:rPr>
                <w:rFonts w:ascii="Times New Roman" w:eastAsia="方正仿宋_GBK" w:cs="Times New Roman"/>
                <w:bCs/>
                <w:sz w:val="24"/>
                <w:szCs w:val="24"/>
              </w:rPr>
              <w:lastRenderedPageBreak/>
              <w:t>consommer traités thermiquement.</w:t>
            </w:r>
          </w:p>
          <w:p w:rsidR="003B2841" w:rsidRDefault="00147C51">
            <w:pPr>
              <w:pStyle w:val="43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Les laboratoires tiers doivent disposer de qualifications en matière d'essais pour les projets d'essais confiés</w:t>
            </w:r>
          </w:p>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hint="eastAsia"/>
                <w:bCs/>
                <w:sz w:val="24"/>
                <w:szCs w:val="24"/>
              </w:rPr>
              <w:t>4. Les r</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sultats des tests doivent </w:t>
            </w:r>
            <w:r>
              <w:rPr>
                <w:rFonts w:ascii="Times New Roman" w:eastAsia="方正仿宋_GBK" w:cs="Times New Roman" w:hint="eastAsia"/>
                <w:bCs/>
                <w:sz w:val="24"/>
                <w:szCs w:val="24"/>
              </w:rPr>
              <w:t>ê</w:t>
            </w:r>
            <w:r>
              <w:rPr>
                <w:rFonts w:ascii="Times New Roman" w:eastAsia="方正仿宋_GBK" w:cs="Times New Roman" w:hint="eastAsia"/>
                <w:bCs/>
                <w:sz w:val="24"/>
                <w:szCs w:val="24"/>
              </w:rPr>
              <w:t xml:space="preserve">tre conformes </w:t>
            </w:r>
            <w:r>
              <w:rPr>
                <w:rFonts w:ascii="Times New Roman" w:eastAsia="方正仿宋_GBK" w:cs="Times New Roman" w:hint="eastAsia"/>
                <w:bCs/>
                <w:sz w:val="24"/>
                <w:szCs w:val="24"/>
              </w:rPr>
              <w:t>à</w:t>
            </w:r>
            <w:r>
              <w:rPr>
                <w:rFonts w:ascii="Times New Roman" w:eastAsia="方正仿宋_GBK" w:cs="Times New Roman" w:hint="eastAsia"/>
                <w:bCs/>
                <w:sz w:val="24"/>
                <w:szCs w:val="24"/>
              </w:rPr>
              <w:t xml:space="preserve"> la « Norme nationale de s</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curit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alimentaire pour les </w:t>
            </w:r>
            <w:r>
              <w:rPr>
                <w:rFonts w:ascii="Times New Roman" w:eastAsia="方正仿宋_GBK" w:cs="Times New Roman" w:hint="eastAsia"/>
                <w:bCs/>
                <w:sz w:val="24"/>
                <w:szCs w:val="24"/>
              </w:rPr>
              <w:t>œ</w:t>
            </w:r>
            <w:r>
              <w:rPr>
                <w:rFonts w:ascii="Times New Roman" w:eastAsia="方正仿宋_GBK" w:cs="Times New Roman" w:hint="eastAsia"/>
                <w:bCs/>
                <w:sz w:val="24"/>
                <w:szCs w:val="24"/>
              </w:rPr>
              <w:t xml:space="preserve">ufs et les produits </w:t>
            </w:r>
            <w:r>
              <w:rPr>
                <w:rFonts w:ascii="Times New Roman" w:eastAsia="方正仿宋_GBK" w:cs="Times New Roman" w:hint="eastAsia"/>
                <w:bCs/>
                <w:sz w:val="24"/>
                <w:szCs w:val="24"/>
              </w:rPr>
              <w:t>à</w:t>
            </w:r>
            <w:r>
              <w:rPr>
                <w:rFonts w:ascii="Times New Roman" w:eastAsia="方正仿宋_GBK" w:cs="Times New Roman" w:hint="eastAsia"/>
                <w:bCs/>
                <w:sz w:val="24"/>
                <w:szCs w:val="24"/>
              </w:rPr>
              <w:t xml:space="preserve"> base d'</w:t>
            </w:r>
            <w:r>
              <w:rPr>
                <w:rFonts w:ascii="Times New Roman" w:eastAsia="方正仿宋_GBK" w:cs="Times New Roman" w:hint="eastAsia"/>
                <w:bCs/>
                <w:sz w:val="24"/>
                <w:szCs w:val="24"/>
              </w:rPr>
              <w:t>œ</w:t>
            </w:r>
            <w:r>
              <w:rPr>
                <w:rFonts w:ascii="Times New Roman" w:eastAsia="方正仿宋_GBK" w:cs="Times New Roman" w:hint="eastAsia"/>
                <w:bCs/>
                <w:sz w:val="24"/>
                <w:szCs w:val="24"/>
              </w:rPr>
              <w:t>ufs » (GB2749) et aux normes nationales de s</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curit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alimentaire associ</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es.</w:t>
            </w:r>
          </w:p>
        </w:tc>
        <w:tc>
          <w:tcPr>
            <w:tcW w:w="1478" w:type="dxa"/>
            <w:noWrap/>
            <w:vAlign w:val="center"/>
          </w:tcPr>
          <w:p w:rsidR="003B2841" w:rsidRDefault="00147C51">
            <w:pPr>
              <w:pStyle w:val="27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宋体"/>
                <w:color w:val="000000"/>
                <w:sz w:val="24"/>
              </w:rPr>
            </w:pPr>
            <w:r>
              <w:rPr>
                <w:rFonts w:ascii="Times New Roman" w:eastAsia="宋体" w:hint="eastAsia"/>
                <w:color w:val="000000"/>
                <w:sz w:val="24"/>
              </w:rPr>
              <w:lastRenderedPageBreak/>
              <w:t xml:space="preserve">5.4 </w:t>
            </w:r>
            <w:r>
              <w:rPr>
                <w:rFonts w:ascii="Times New Roman" w:eastAsia="方正仿宋_GBK" w:cs="Times New Roman" w:hint="eastAsia"/>
                <w:bCs/>
                <w:sz w:val="24"/>
                <w:szCs w:val="24"/>
              </w:rPr>
              <w:t>Surveillance des salmonelles pendant le processus de production</w:t>
            </w:r>
          </w:p>
        </w:tc>
        <w:tc>
          <w:tcPr>
            <w:tcW w:w="3525" w:type="dxa"/>
            <w:noWrap/>
            <w:vAlign w:val="center"/>
          </w:tcPr>
          <w:p w:rsidR="003B2841" w:rsidRDefault="00147C51">
            <w:pPr>
              <w:pStyle w:val="4610"/>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8.2 dans « Code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des normes nationales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 pour la production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(BG21710)</w:t>
            </w:r>
          </w:p>
        </w:tc>
        <w:tc>
          <w:tcPr>
            <w:tcW w:w="2494" w:type="dxa"/>
            <w:noWrap/>
            <w:vAlign w:val="center"/>
          </w:tcPr>
          <w:p w:rsidR="003B2841" w:rsidRDefault="00147C51">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5.4.1 Fournir un plan de surveillance des salmonelles pendant la production et la transformation.</w:t>
            </w:r>
          </w:p>
          <w:p w:rsidR="003B2841" w:rsidRDefault="00147C51">
            <w:pPr>
              <w:tabs>
                <w:tab w:val="center" w:pos="4153"/>
                <w:tab w:val="right" w:pos="8306"/>
              </w:tabs>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5.4.2 Fournir les deux derniers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sultats de surveillance de Salmonella.</w:t>
            </w:r>
          </w:p>
        </w:tc>
        <w:tc>
          <w:tcPr>
            <w:tcW w:w="3116" w:type="dxa"/>
            <w:noWrap/>
            <w:vAlign w:val="center"/>
          </w:tcPr>
          <w:p w:rsidR="003B2841" w:rsidRDefault="00147C51">
            <w:pPr>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Les entreprises doivent fournir des plans de surveillance des salmonelles et des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sultats de surveillance, et doivent se conformer aux dispositions de l'annexe A « Lignes directrices pour les proc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dures de surveillance des salmonelles pendant la </w:t>
            </w:r>
            <w:r>
              <w:rPr>
                <w:rFonts w:ascii="Times New Roman" w:eastAsia="方正仿宋_GBK" w:cs="Times New Roman" w:hint="eastAsia"/>
                <w:bCs/>
                <w:color w:val="000000"/>
                <w:sz w:val="24"/>
                <w:szCs w:val="24"/>
              </w:rPr>
              <w:lastRenderedPageBreak/>
              <w:t xml:space="preserve">transformation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des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des «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de la norme nationale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 pour la production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et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Produits" (BG21710)</w:t>
            </w:r>
          </w:p>
        </w:tc>
        <w:tc>
          <w:tcPr>
            <w:tcW w:w="1478"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Gestion des produits chimiques</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Gestion et stockage des produits chimiques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et 8.3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Brève description des exigences en matière de manipulation et de stockage des produits chimiques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Fournir des photos de la salle de stockage des produits chimiques</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Les produits chimiques (y compris les désinfectants et autres agents de nettoyage) doivent être conformes aux autorités locales compétentes et aux exigences chinoises.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produits chimiques doivent être stockés dans des zones dédiées, strictement gérées et clairement étiquetées.</w:t>
            </w:r>
          </w:p>
        </w:tc>
        <w:tc>
          <w:tcPr>
            <w:tcW w:w="1478" w:type="dxa"/>
            <w:noWrap/>
            <w:vAlign w:val="center"/>
          </w:tcPr>
          <w:p w:rsidR="003B2841" w:rsidRDefault="00147C51">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639"/>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Élimination des déchets et lutte antiparasitaire</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7.1Élimination </w:t>
            </w:r>
            <w:r>
              <w:rPr>
                <w:rFonts w:ascii="Times New Roman" w:eastAsia="方正仿宋_GBK" w:cs="Times New Roman"/>
                <w:bCs/>
                <w:color w:val="000000"/>
                <w:sz w:val="24"/>
                <w:szCs w:val="24"/>
              </w:rPr>
              <w:t>des déchets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lastRenderedPageBreak/>
              <w:t>14881 )</w:t>
            </w:r>
          </w:p>
          <w:p w:rsidR="003B2841" w:rsidRDefault="003B2841">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7.1.1 Fournir </w:t>
            </w:r>
            <w:r>
              <w:rPr>
                <w:rFonts w:ascii="Times New Roman" w:eastAsia="方正仿宋_GBK" w:cs="Times New Roman"/>
                <w:bCs/>
                <w:color w:val="000000"/>
                <w:sz w:val="24"/>
                <w:szCs w:val="24"/>
              </w:rPr>
              <w:t xml:space="preserve">des images de la distinction entre les contenants de produits comestibles et </w:t>
            </w:r>
            <w:r>
              <w:rPr>
                <w:rFonts w:ascii="Times New Roman" w:eastAsia="方正仿宋_GBK" w:cs="Times New Roman"/>
                <w:bCs/>
                <w:color w:val="000000"/>
                <w:sz w:val="24"/>
                <w:szCs w:val="24"/>
              </w:rPr>
              <w:lastRenderedPageBreak/>
              <w:t>les contenants de stockage de déchets dans l'atelier</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Décrivez brièvement les exigences relatives aux procédures de traitement des déchets ; si un tiers est utilisé pour un traitement inoffensif, veuillez fournir les qualifications correspondantes de la société tierce.</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Les contenants de produits comestibles et les contenants de stockage de déchets doivent être clairement </w:t>
            </w:r>
            <w:r>
              <w:rPr>
                <w:rFonts w:ascii="Times New Roman" w:eastAsia="方正仿宋_GBK" w:cs="Times New Roman"/>
                <w:bCs/>
                <w:color w:val="000000"/>
                <w:sz w:val="24"/>
                <w:szCs w:val="24"/>
              </w:rPr>
              <w:lastRenderedPageBreak/>
              <w:t>marqués et distingués.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déchets doivent être stockés séparément et traités à temps pour éviter toute pollution de la production.</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7.2 </w:t>
            </w:r>
            <w:r>
              <w:rPr>
                <w:rFonts w:ascii="Times New Roman" w:eastAsia="方正仿宋_GBK" w:cs="Times New Roman"/>
                <w:bCs/>
                <w:color w:val="000000"/>
                <w:sz w:val="24"/>
                <w:szCs w:val="24"/>
              </w:rPr>
              <w:t>Lutte contre les nuisibles et les rongeurs</w:t>
            </w:r>
          </w:p>
          <w:p w:rsidR="003B2841" w:rsidRDefault="003B2841">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Fournir un plan d'aménagement de lutte antiparasitaire. Si un tiers est responsable de cette responsabilité, fournir les qualifications du tiers.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L'impact des parasites et des rongeurs sur la sécurité et la santé de la production doit être évité</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Traçabilité et rappel des produits</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w:t>
            </w:r>
            <w:r>
              <w:rPr>
                <w:rFonts w:ascii="Times New Roman" w:eastAsia="方正仿宋_GBK" w:cs="Times New Roman"/>
                <w:sz w:val="24"/>
                <w:szCs w:val="24"/>
              </w:rPr>
              <w:t xml:space="preserve">Informations sur l'emballage et la traçabilité du </w:t>
            </w:r>
            <w:r>
              <w:rPr>
                <w:rFonts w:ascii="Times New Roman" w:eastAsia="方正仿宋_GBK" w:cs="Times New Roman" w:hint="eastAsia"/>
                <w:bCs/>
                <w:sz w:val="24"/>
                <w:szCs w:val="24"/>
              </w:rPr>
              <w:t>produit</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11.4 dans « Normes nationales de sécurité alimentaire Spécifications générales d'hygiène pour la production alimentaire » (GB 14881)</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Fournir </w:t>
            </w:r>
            <w:r>
              <w:rPr>
                <w:rFonts w:ascii="Times New Roman" w:eastAsia="方正仿宋_GBK" w:cs="Times New Roman" w:hint="eastAsia"/>
                <w:bCs/>
                <w:sz w:val="24"/>
                <w:szCs w:val="24"/>
              </w:rPr>
              <w:t>les r</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gles d'</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tiquetage </w:t>
            </w:r>
            <w:r>
              <w:rPr>
                <w:rFonts w:ascii="Times New Roman" w:eastAsia="方正仿宋_GBK" w:cs="Times New Roman"/>
                <w:sz w:val="24"/>
                <w:szCs w:val="24"/>
              </w:rPr>
              <w:t xml:space="preserve">, les échantillons d'étiquettes et les </w:t>
            </w:r>
            <w:r>
              <w:rPr>
                <w:rFonts w:ascii="Times New Roman" w:eastAsia="方正仿宋_GBK" w:cs="Times New Roman"/>
                <w:sz w:val="24"/>
                <w:szCs w:val="24"/>
              </w:rPr>
              <w:lastRenderedPageBreak/>
              <w:t xml:space="preserve">instructions d'informations sur la traçabilité (la signification du logo, de la marque ou du numéro utilisé pour la traçabilité et la position d'impression sur l'emballage </w:t>
            </w:r>
            <w:r>
              <w:rPr>
                <w:rFonts w:ascii="Times New Roman" w:eastAsia="方正仿宋_GBK" w:cs="Times New Roman" w:hint="eastAsia"/>
                <w:bCs/>
                <w:sz w:val="24"/>
                <w:szCs w:val="24"/>
              </w:rPr>
              <w:t>)</w:t>
            </w:r>
          </w:p>
        </w:tc>
        <w:tc>
          <w:tcPr>
            <w:tcW w:w="3116" w:type="dxa"/>
            <w:noWrap/>
            <w:vAlign w:val="center"/>
          </w:tcPr>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lastRenderedPageBreak/>
              <w:t xml:space="preserve">Les entreprises doivent clairement décrire la signification de l'identification du produit, des marques ou des numéros </w:t>
            </w:r>
            <w:r>
              <w:rPr>
                <w:rFonts w:ascii="Times New Roman" w:eastAsia="方正仿宋_GBK" w:cs="Times New Roman"/>
                <w:sz w:val="24"/>
                <w:szCs w:val="24"/>
              </w:rPr>
              <w:lastRenderedPageBreak/>
              <w:t>utilisés pour la traçabilité.</w:t>
            </w:r>
          </w:p>
        </w:tc>
        <w:tc>
          <w:tcPr>
            <w:tcW w:w="1478" w:type="dxa"/>
            <w:noWrap/>
            <w:vAlign w:val="center"/>
          </w:tcPr>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8.2 </w:t>
            </w:r>
            <w:r>
              <w:rPr>
                <w:rFonts w:ascii="Times New Roman" w:eastAsia="方正仿宋_GBK" w:cs="Times New Roman" w:hint="eastAsia"/>
                <w:bCs/>
                <w:sz w:val="24"/>
                <w:szCs w:val="24"/>
              </w:rPr>
              <w:t>Syst</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 xml:space="preserve">me </w:t>
            </w:r>
            <w:r>
              <w:rPr>
                <w:rFonts w:ascii="Times New Roman" w:eastAsia="方正仿宋_GBK" w:cs="Times New Roman"/>
                <w:bCs/>
                <w:sz w:val="24"/>
                <w:szCs w:val="24"/>
              </w:rPr>
              <w:t>de traçabilité et de rappel des produits</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et 14.1.1 dans « Normes nationales de sécurité alimentaire Spécifications générales d'hygiène pour la production alimentaire » (GB 14881)</w:t>
            </w:r>
          </w:p>
          <w:p w:rsidR="003B2841" w:rsidRDefault="003B2841">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8.2 Décrire brièvement la procédure de traçabilité des produits En prenant comme exemple le numéro de lot d'un </w:t>
            </w:r>
            <w:r>
              <w:rPr>
                <w:rFonts w:ascii="Times New Roman" w:eastAsia="方正仿宋_GBK" w:cs="Times New Roman" w:hint="eastAsia"/>
                <w:bCs/>
                <w:sz w:val="24"/>
                <w:szCs w:val="24"/>
              </w:rPr>
              <w:t xml:space="preserve">lot </w:t>
            </w:r>
            <w:r>
              <w:rPr>
                <w:rFonts w:ascii="Times New Roman" w:eastAsia="方正仿宋_GBK" w:cs="Times New Roman"/>
                <w:bCs/>
                <w:sz w:val="24"/>
                <w:szCs w:val="24"/>
              </w:rPr>
              <w:t>de produits finis, expliquer comment tracer les produits finis jusqu'à l'abattoir correspondant.</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doit être identifiée grâce à la composition </w:t>
            </w:r>
            <w:r>
              <w:rPr>
                <w:rFonts w:ascii="Times New Roman" w:eastAsia="方正仿宋_GBK" w:cs="Times New Roman" w:hint="eastAsia"/>
                <w:bCs/>
                <w:sz w:val="24"/>
                <w:szCs w:val="24"/>
              </w:rPr>
              <w:t xml:space="preserve">d'identification </w:t>
            </w:r>
            <w:r>
              <w:rPr>
                <w:rFonts w:ascii="Times New Roman" w:eastAsia="方正仿宋_GBK" w:cs="Times New Roman"/>
                <w:bCs/>
                <w:sz w:val="24"/>
                <w:szCs w:val="24"/>
              </w:rPr>
              <w:t>, et la traçabilité bidirectionnelle doit être réalisée grâce à la gestion des lots et à la réception des registres de ventes.</w:t>
            </w:r>
          </w:p>
        </w:tc>
        <w:tc>
          <w:tcPr>
            <w:tcW w:w="1478" w:type="dxa"/>
            <w:noWrap/>
            <w:vAlign w:val="center"/>
          </w:tcPr>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à</w:t>
            </w:r>
          </w:p>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9. </w:t>
            </w:r>
            <w:r>
              <w:rPr>
                <w:rFonts w:ascii="Times New Roman" w:eastAsia="方正楷体_GBK" w:cs="Times New Roman"/>
                <w:b/>
                <w:bCs/>
                <w:color w:val="000000"/>
                <w:sz w:val="24"/>
                <w:szCs w:val="24"/>
              </w:rPr>
              <w:t>Gestion du personnel et formation</w:t>
            </w:r>
          </w:p>
        </w:tc>
      </w:tr>
      <w:tr w:rsidR="003B2841">
        <w:trPr>
          <w:trHeight w:val="155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Qualifications des employés et gestion de la santé</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Fournir des exigences en matière de gestion de la santé avant l'emploi et d'examen physique des employés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Avant d'embaucher, les employés doivent subir un examen physique et prouver qu'ils sont aptes à travailler dans une entreprise de transformation des aliments.</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9.2Formation </w:t>
            </w:r>
            <w:r>
              <w:rPr>
                <w:rFonts w:ascii="Times New Roman" w:eastAsia="方正仿宋_GBK" w:cs="Times New Roman" w:hint="eastAsia"/>
                <w:bCs/>
                <w:color w:val="000000"/>
                <w:sz w:val="24"/>
                <w:szCs w:val="24"/>
              </w:rPr>
              <w:t>du personnel</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"Normes nationales de sécurité alimentaire Spécifications générales d'hygiène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Fournir aux employés des plans de formation annuels, du contenu, des évaluations et des dossiers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contenu de la formation doit couvrir le protocole d'inspection et de quarantaine </w:t>
            </w:r>
            <w:r>
              <w:rPr>
                <w:rFonts w:ascii="Times New Roman" w:eastAsia="方正仿宋_GBK" w:cs="Times New Roman" w:hint="eastAsia"/>
                <w:bCs/>
                <w:color w:val="000000"/>
                <w:sz w:val="24"/>
                <w:szCs w:val="24"/>
              </w:rPr>
              <w:t>des ovoproduits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w:t>
            </w:r>
            <w:r>
              <w:rPr>
                <w:rFonts w:ascii="Times New Roman" w:eastAsia="方正仿宋_GBK" w:cs="Times New Roman"/>
                <w:bCs/>
                <w:color w:val="000000"/>
                <w:sz w:val="24"/>
                <w:szCs w:val="24"/>
              </w:rPr>
              <w:t>, les réglementations et normes chinoises, etc.</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Déclaration d'entreprise</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tcPr>
          <w:p w:rsidR="003B2841" w:rsidRDefault="00147C51">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 </w:t>
            </w:r>
            <w:r>
              <w:rPr>
                <w:rFonts w:ascii="Times New Roman" w:eastAsia="方正仿宋_GBK" w:cs="Times New Roman"/>
                <w:bCs/>
                <w:color w:val="000000"/>
                <w:sz w:val="24"/>
                <w:szCs w:val="24"/>
              </w:rPr>
              <w:t xml:space="preserve">1. Remplissez le « Formulaire de demande d'enregistrement des entreprises de 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y avoir la signature d'une personne morale et le sceau de l'entreprise.</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 Confirmation par l'autorité vétérinaire compétente</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10.2 </w:t>
            </w:r>
            <w:r>
              <w:rPr>
                <w:rFonts w:ascii="Times New Roman" w:eastAsia="方正仿宋_GBK" w:cs="Times New Roman"/>
                <w:bCs/>
                <w:color w:val="000000"/>
                <w:sz w:val="24"/>
                <w:szCs w:val="24"/>
              </w:rPr>
              <w:t xml:space="preserve">Remplissez le « Formulaire de demande d'enregistrement des entreprises de 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lastRenderedPageBreak/>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p w:rsidR="003B2841" w:rsidRDefault="003B2841">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Doit être signé par le vétérinaire compétent et tamponné par l'autorité compétente</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bl>
    <w:p w:rsidR="003B2841" w:rsidRDefault="003B2841">
      <w:pPr>
        <w:pStyle w:val="1"/>
        <w:ind w:left="360" w:firstLineChars="0" w:firstLine="0"/>
        <w:rPr>
          <w:rFonts w:ascii="Times New Roman" w:eastAsia="方正仿宋_GBK" w:cs="Times New Roman"/>
          <w:bCs/>
          <w:color w:val="000000"/>
          <w:szCs w:val="21"/>
        </w:rPr>
      </w:pPr>
    </w:p>
    <w:p w:rsidR="003B2841" w:rsidRDefault="003B2841">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sectPr w:rsidR="003B2841">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FD" w:rsidRDefault="00F005FD">
      <w:r>
        <w:separator/>
      </w:r>
    </w:p>
  </w:endnote>
  <w:endnote w:type="continuationSeparator" w:id="0">
    <w:p w:rsidR="00F005FD" w:rsidRDefault="00F0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3B2841" w:rsidRDefault="003B28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sidR="00590AFC">
      <w:rPr>
        <w:rStyle w:val="a5"/>
        <w:noProof/>
      </w:rPr>
      <w:t>1</w:t>
    </w:r>
    <w:r>
      <w:fldChar w:fldCharType="end"/>
    </w:r>
  </w:p>
  <w:p w:rsidR="003B2841" w:rsidRPr="00590AFC" w:rsidRDefault="00590AFC">
    <w:pPr>
      <w:pStyle w:val="a4"/>
      <w:rPr>
        <w:color w:val="808080" w:themeColor="background1" w:themeShade="80"/>
      </w:rPr>
    </w:pPr>
    <w:r w:rsidRPr="00590AFC">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FD" w:rsidRDefault="00F005FD">
      <w:r>
        <w:separator/>
      </w:r>
    </w:p>
  </w:footnote>
  <w:footnote w:type="continuationSeparator" w:id="0">
    <w:p w:rsidR="00F005FD" w:rsidRDefault="00F00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5967"/>
    <w:multiLevelType w:val="singleLevel"/>
    <w:tmpl w:val="5F905967"/>
    <w:lvl w:ilvl="0">
      <w:start w:val="1"/>
      <w:numFmt w:val="decimal"/>
      <w:lvlRestart w:val="0"/>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B2841"/>
    <w:rsid w:val="00147C51"/>
    <w:rsid w:val="002F7C58"/>
    <w:rsid w:val="003B2841"/>
    <w:rsid w:val="00590AFC"/>
    <w:rsid w:val="00765E37"/>
    <w:rsid w:val="00F0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3564</Words>
  <Characters>20316</Characters>
  <Application>Microsoft Office Word</Application>
  <DocSecurity>0</DocSecurity>
  <Lines>169</Lines>
  <Paragraphs>47</Paragraphs>
  <ScaleCrop>false</ScaleCrop>
  <Company>Microsoft</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14</cp:revision>
  <dcterms:created xsi:type="dcterms:W3CDTF">2021-07-22T00:13:00Z</dcterms:created>
  <dcterms:modified xsi:type="dcterms:W3CDTF">2024-11-26T07:00:00Z</dcterms:modified>
</cp:coreProperties>
</file>